
<file path=[Content_Types].xml><?xml version="1.0" encoding="utf-8"?>
<Types xmlns="http://schemas.openxmlformats.org/package/2006/content-types">
  <Default Extension="xml" ContentType="application/xml"/>
  <Default Extension="tiff" ContentType="image/tif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09" w:type="dxa"/>
          </w:tcPr>
          <w:p>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 xml:space="preserve"> </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点击此处添加CCS号</w:t>
            </w:r>
            <w:r>
              <w:rPr>
                <w:rFonts w:ascii="黑体" w:hAnsi="黑体" w:eastAsia="黑体"/>
                <w:sz w:val="21"/>
                <w:szCs w:val="21"/>
              </w:rPr>
              <w:fldChar w:fldCharType="end"/>
            </w:r>
            <w:bookmarkEnd w:id="1"/>
          </w:p>
        </w:tc>
      </w:tr>
    </w:tbl>
    <w:tbl>
      <w:tblPr>
        <w:tblStyle w:val="27"/>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PrEx>
        <w:tc>
          <w:tcPr>
            <w:tcW w:w="6407" w:type="dxa"/>
          </w:tcPr>
          <w:p>
            <w:pPr>
              <w:pStyle w:val="49"/>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rPr>
                <w:lang w:eastAsia="zh-CN"/>
              </w:rPr>
              <w:t>     </w:t>
            </w:r>
            <w:r>
              <w:fldChar w:fldCharType="end"/>
            </w:r>
            <w:bookmarkEnd w:id="3"/>
          </w:p>
        </w:tc>
      </w:tr>
    </w:tbl>
    <w:p>
      <w:pPr>
        <w:pStyle w:val="50"/>
        <w:framePr w:w="9639" w:h="624" w:hRule="exact" w:hSpace="181" w:vSpace="181" w:wrap="around"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lang w:eastAsia="zh-CN"/>
        </w:rPr>
        <w:t>海南省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pPr>
        <w:pStyle w:val="195"/>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rFonts w:hint="eastAsia"/>
          <w:lang w:val="en-US" w:eastAsia="zh-CN"/>
        </w:rPr>
        <w:t>46</w:t>
      </w:r>
      <w:r>
        <w:rPr>
          <w:lang w:val="fr-FR"/>
        </w:rPr>
        <w:t>/T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pPr>
        <w:pStyle w:val="196"/>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pPr>
        <w:pStyle w:val="50"/>
        <w:framePr w:w="9639" w:h="6976" w:hRule="exact" w:hSpace="0" w:vSpace="0" w:wrap="around" w:hAnchor="page" w:y="6408"/>
        <w:jc w:val="center"/>
        <w:rPr>
          <w:rFonts w:ascii="黑体" w:hAnsi="黑体" w:eastAsia="黑体"/>
          <w:b w:val="0"/>
          <w:bCs w:val="0"/>
          <w:w w:val="100"/>
        </w:rPr>
      </w:pPr>
    </w:p>
    <w:p>
      <w:pPr>
        <w:pStyle w:val="197"/>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Pr>
          <w:rFonts w:hint="eastAsia"/>
        </w:rPr>
        <w:t xml:space="preserve">   海上风电场防雷装置检测技术规范     </w:t>
      </w:r>
      <w:r>
        <w:fldChar w:fldCharType="end"/>
      </w:r>
      <w:bookmarkEnd w:id="9"/>
    </w:p>
    <w:p>
      <w:pPr>
        <w:framePr w:w="9639" w:h="6974" w:hRule="exact" w:wrap="around" w:vAnchor="page" w:hAnchor="page" w:x="1419" w:y="6408" w:anchorLock="1"/>
        <w:ind w:left="-1418"/>
      </w:pPr>
    </w:p>
    <w:p>
      <w:pPr>
        <w:pStyle w:val="125"/>
        <w:framePr w:w="9639" w:h="6974" w:hRule="exact" w:wrap="around" w:vAnchor="page" w:hAnchor="page" w:x="1419" w:y="6408" w:anchorLock="1"/>
        <w:textAlignment w:val="bottom"/>
        <w:rPr>
          <w:rFonts w:ascii="黑体" w:hAnsi="黑体" w:eastAsia="黑体"/>
          <w:szCs w:val="28"/>
        </w:rPr>
      </w:pPr>
      <w:r>
        <w:rPr>
          <w:rFonts w:ascii="黑体" w:hAnsi="黑体" w:eastAsia="黑体"/>
          <w:szCs w:val="28"/>
        </w:rPr>
        <w:fldChar w:fldCharType="begin">
          <w:ffData>
            <w:name w:val="ESTD_NAME"/>
            <w:enabled/>
            <w:calcOnExit w:val="0"/>
            <w:textInput>
              <w:default w:val="点击此处添加标准名称的英文译名"/>
            </w:textInput>
          </w:ffData>
        </w:fldChar>
      </w:r>
      <w:bookmarkStart w:id="10" w:name="ESTD_NAME"/>
      <w:r>
        <w:rPr>
          <w:rFonts w:ascii="黑体" w:hAnsi="黑体" w:eastAsia="黑体"/>
          <w:szCs w:val="28"/>
        </w:rPr>
        <w:instrText xml:space="preserve"> FORMTEXT </w:instrText>
      </w:r>
      <w:r>
        <w:rPr>
          <w:rFonts w:ascii="黑体" w:hAnsi="黑体" w:eastAsia="黑体"/>
          <w:szCs w:val="28"/>
        </w:rPr>
        <w:fldChar w:fldCharType="separate"/>
      </w:r>
      <w:r>
        <w:rPr>
          <w:rFonts w:hint="eastAsia" w:ascii="黑体" w:hAnsi="黑体" w:eastAsia="黑体"/>
          <w:szCs w:val="28"/>
        </w:rPr>
        <w:t>Technical Specification for Lightning Protection System Testing of Offshore Wind Farms     </w:t>
      </w:r>
      <w:r>
        <w:rPr>
          <w:rFonts w:ascii="黑体" w:hAnsi="黑体" w:eastAsia="黑体"/>
          <w:szCs w:val="28"/>
        </w:rPr>
        <w:fldChar w:fldCharType="end"/>
      </w:r>
      <w:bookmarkEnd w:id="10"/>
    </w:p>
    <w:p>
      <w:pPr>
        <w:framePr w:w="9639" w:h="6974" w:hRule="exact" w:wrap="around" w:vAnchor="page" w:hAnchor="page" w:x="1419" w:y="6408" w:anchorLock="1"/>
        <w:spacing w:line="760" w:lineRule="exact"/>
        <w:ind w:left="-1418"/>
      </w:pPr>
    </w:p>
    <w:p>
      <w:pPr>
        <w:pStyle w:val="125"/>
        <w:framePr w:w="9639" w:h="6974" w:hRule="exact" w:wrap="around" w:vAnchor="page" w:hAnchor="page" w:x="1419" w:y="6408" w:anchorLock="1"/>
        <w:textAlignment w:val="bottom"/>
        <w:rPr>
          <w:rFonts w:eastAsia="黑体"/>
          <w:szCs w:val="28"/>
        </w:rPr>
      </w:pPr>
    </w:p>
    <w:p>
      <w:pPr>
        <w:pStyle w:val="125"/>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2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pPr>
        <w:pStyle w:val="125"/>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93"/>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94"/>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51"/>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Ansi="黑体"/>
          <w:w w:val="100"/>
          <w:sz w:val="28"/>
        </w:rPr>
        <w:t>     </w:t>
      </w:r>
      <w:r>
        <w:rPr>
          <w:rFonts w:hAnsi="黑体"/>
          <w:w w:val="100"/>
          <w:sz w:val="28"/>
        </w:rPr>
        <w:fldChar w:fldCharType="end"/>
      </w:r>
      <w:bookmarkEnd w:id="20"/>
      <w:r>
        <w:rPr>
          <w:rFonts w:ascii="Times New Roman"/>
          <w:w w:val="100"/>
          <w:sz w:val="28"/>
        </w:rPr>
        <w:t>  </w:t>
      </w:r>
      <w:r>
        <w:rPr>
          <w:rStyle w:val="229"/>
          <w:rFonts w:hint="eastAsia" w:hAnsi="黑体"/>
          <w:position w:val="0"/>
        </w:rPr>
        <w:t>发</w:t>
      </w:r>
      <w:r>
        <w:rPr>
          <w:rStyle w:val="229"/>
          <w:rFonts w:hint="eastAsia" w:hAnsi="黑体"/>
          <w:spacing w:val="0"/>
          <w:position w:val="0"/>
        </w:rPr>
        <w:t>布</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pPr>
        <w:pStyle w:val="91"/>
        <w:bidi w:val="0"/>
        <w:rPr>
          <w:rFonts w:hint="eastAsia"/>
          <w:lang w:eastAsia="zh-CN"/>
        </w:rPr>
      </w:pPr>
      <w:bookmarkStart w:id="21" w:name="BookMark1"/>
      <w:bookmarkStart w:id="22" w:name="_Toc13770"/>
      <w:r>
        <w:rPr>
          <w:rFonts w:hint="eastAsia"/>
          <w:spacing w:val="320"/>
          <w:lang w:eastAsia="zh-CN"/>
        </w:rPr>
        <w:t>目</w:t>
      </w:r>
      <w:r>
        <w:rPr>
          <w:rFonts w:hint="eastAsia"/>
          <w:lang w:eastAsia="zh-CN"/>
        </w:rPr>
        <w:t>次</w:t>
      </w:r>
    </w:p>
    <w:p>
      <w:pPr>
        <w:pStyle w:val="19"/>
        <w:tabs>
          <w:tab w:val="right" w:leader="dot" w:pos="9354"/>
        </w:tabs>
      </w:pPr>
      <w:r>
        <w:rPr>
          <w:rFonts w:hint="eastAsia"/>
          <w:spacing w:val="0"/>
          <w:lang w:eastAsia="zh-CN"/>
        </w:rPr>
        <w:fldChar w:fldCharType="begin"/>
      </w:r>
      <w:r>
        <w:rPr>
          <w:rFonts w:hint="eastAsia"/>
          <w:spacing w:val="0"/>
          <w:lang w:eastAsia="zh-CN"/>
        </w:rPr>
        <w:instrText xml:space="preserve">TOC \o "1-1" \t "标准文件_一级条标题,2,标准文件_附录一级条标题,2," \h</w:instrText>
      </w:r>
      <w:r>
        <w:rPr>
          <w:rFonts w:hint="eastAsia"/>
          <w:spacing w:val="0"/>
          <w:lang w:eastAsia="zh-CN"/>
        </w:rPr>
        <w:fldChar w:fldCharType="separate"/>
      </w:r>
      <w:r>
        <w:rPr>
          <w:rFonts w:hint="eastAsia"/>
          <w:spacing w:val="0"/>
          <w:lang w:eastAsia="zh-CN"/>
        </w:rPr>
        <w:fldChar w:fldCharType="begin"/>
      </w:r>
      <w:r>
        <w:rPr>
          <w:rFonts w:hint="eastAsia"/>
          <w:spacing w:val="0"/>
          <w:lang w:eastAsia="zh-CN"/>
        </w:rPr>
        <w:instrText xml:space="preserve"> HYPERLINK \l _Toc13699 </w:instrText>
      </w:r>
      <w:r>
        <w:rPr>
          <w:rFonts w:hint="eastAsia"/>
          <w:spacing w:val="0"/>
          <w:lang w:eastAsia="zh-CN"/>
        </w:rPr>
        <w:fldChar w:fldCharType="separate"/>
      </w:r>
      <w:r>
        <w:rPr>
          <w:rFonts w:hint="eastAsia"/>
          <w:spacing w:val="320"/>
          <w:lang w:eastAsia="zh-CN"/>
        </w:rPr>
        <w:t>前</w:t>
      </w:r>
      <w:r>
        <w:rPr>
          <w:rFonts w:hint="eastAsia"/>
          <w:lang w:eastAsia="zh-CN"/>
        </w:rPr>
        <w:t>言</w:t>
      </w:r>
      <w:r>
        <w:tab/>
      </w:r>
      <w:r>
        <w:fldChar w:fldCharType="begin"/>
      </w:r>
      <w:r>
        <w:instrText xml:space="preserve"> PAGEREF _Toc13699 \h </w:instrText>
      </w:r>
      <w:r>
        <w:fldChar w:fldCharType="separate"/>
      </w:r>
      <w:r>
        <w:t>III</w:t>
      </w:r>
      <w:r>
        <w:fldChar w:fldCharType="end"/>
      </w:r>
      <w:r>
        <w:rPr>
          <w:rFonts w:hint="eastAsia"/>
          <w:spacing w:val="0"/>
          <w:lang w:eastAsia="zh-CN"/>
        </w:rPr>
        <w:fldChar w:fldCharType="end"/>
      </w:r>
    </w:p>
    <w:p>
      <w:pPr>
        <w:pStyle w:val="19"/>
        <w:tabs>
          <w:tab w:val="right" w:leader="dot" w:pos="9354"/>
        </w:tabs>
      </w:pPr>
      <w:r>
        <w:rPr>
          <w:rFonts w:hint="eastAsia"/>
          <w:spacing w:val="0"/>
          <w:lang w:eastAsia="zh-CN"/>
        </w:rPr>
        <w:fldChar w:fldCharType="begin"/>
      </w:r>
      <w:r>
        <w:rPr>
          <w:rFonts w:hint="eastAsia"/>
          <w:spacing w:val="0"/>
          <w:lang w:eastAsia="zh-CN"/>
        </w:rPr>
        <w:instrText xml:space="preserve"> HYPERLINK \l _Toc228 </w:instrText>
      </w:r>
      <w:r>
        <w:rPr>
          <w:rFonts w:hint="eastAsia"/>
          <w:spacing w:val="0"/>
          <w:lang w:eastAsia="zh-CN"/>
        </w:rPr>
        <w:fldChar w:fldCharType="separate"/>
      </w:r>
      <w:r>
        <w:rPr>
          <w:rFonts w:hint="eastAsia" w:ascii="黑体" w:eastAsia="黑体"/>
          <w:i w:val="0"/>
        </w:rPr>
        <w:t xml:space="preserve">1 </w:t>
      </w:r>
      <w:r>
        <w:rPr>
          <w:rFonts w:hint="eastAsia"/>
        </w:rPr>
        <w:t>范围</w:t>
      </w:r>
      <w:r>
        <w:tab/>
      </w:r>
      <w:r>
        <w:fldChar w:fldCharType="begin"/>
      </w:r>
      <w:r>
        <w:instrText xml:space="preserve"> PAGEREF _Toc228 \h </w:instrText>
      </w:r>
      <w:r>
        <w:fldChar w:fldCharType="separate"/>
      </w:r>
      <w:r>
        <w:t>2</w:t>
      </w:r>
      <w:r>
        <w:fldChar w:fldCharType="end"/>
      </w:r>
      <w:r>
        <w:rPr>
          <w:rFonts w:hint="eastAsia"/>
          <w:spacing w:val="0"/>
          <w:lang w:eastAsia="zh-CN"/>
        </w:rPr>
        <w:fldChar w:fldCharType="end"/>
      </w:r>
    </w:p>
    <w:p>
      <w:pPr>
        <w:pStyle w:val="19"/>
        <w:tabs>
          <w:tab w:val="right" w:leader="dot" w:pos="9354"/>
        </w:tabs>
      </w:pPr>
      <w:r>
        <w:rPr>
          <w:rFonts w:hint="eastAsia"/>
          <w:spacing w:val="0"/>
          <w:lang w:eastAsia="zh-CN"/>
        </w:rPr>
        <w:fldChar w:fldCharType="begin"/>
      </w:r>
      <w:r>
        <w:rPr>
          <w:rFonts w:hint="eastAsia"/>
          <w:spacing w:val="0"/>
          <w:lang w:eastAsia="zh-CN"/>
        </w:rPr>
        <w:instrText xml:space="preserve"> HYPERLINK \l _Toc13216 </w:instrText>
      </w:r>
      <w:r>
        <w:rPr>
          <w:rFonts w:hint="eastAsia"/>
          <w:spacing w:val="0"/>
          <w:lang w:eastAsia="zh-CN"/>
        </w:rPr>
        <w:fldChar w:fldCharType="separate"/>
      </w:r>
      <w:r>
        <w:rPr>
          <w:rFonts w:hint="eastAsia" w:ascii="黑体" w:eastAsia="黑体"/>
          <w:i w:val="0"/>
        </w:rPr>
        <w:t xml:space="preserve">2 </w:t>
      </w:r>
      <w:r>
        <w:rPr>
          <w:rFonts w:hint="eastAsia"/>
        </w:rPr>
        <w:t>规范性引用文件</w:t>
      </w:r>
      <w:r>
        <w:tab/>
      </w:r>
      <w:r>
        <w:fldChar w:fldCharType="begin"/>
      </w:r>
      <w:r>
        <w:instrText xml:space="preserve"> PAGEREF _Toc13216 \h </w:instrText>
      </w:r>
      <w:r>
        <w:fldChar w:fldCharType="separate"/>
      </w:r>
      <w:r>
        <w:t>2</w:t>
      </w:r>
      <w:r>
        <w:fldChar w:fldCharType="end"/>
      </w:r>
      <w:r>
        <w:rPr>
          <w:rFonts w:hint="eastAsia"/>
          <w:spacing w:val="0"/>
          <w:lang w:eastAsia="zh-CN"/>
        </w:rPr>
        <w:fldChar w:fldCharType="end"/>
      </w:r>
    </w:p>
    <w:p>
      <w:pPr>
        <w:pStyle w:val="19"/>
        <w:tabs>
          <w:tab w:val="right" w:leader="dot" w:pos="9354"/>
        </w:tabs>
      </w:pPr>
      <w:r>
        <w:rPr>
          <w:rFonts w:hint="eastAsia"/>
          <w:spacing w:val="0"/>
          <w:lang w:eastAsia="zh-CN"/>
        </w:rPr>
        <w:fldChar w:fldCharType="begin"/>
      </w:r>
      <w:r>
        <w:rPr>
          <w:rFonts w:hint="eastAsia"/>
          <w:spacing w:val="0"/>
          <w:lang w:eastAsia="zh-CN"/>
        </w:rPr>
        <w:instrText xml:space="preserve"> HYPERLINK \l _Toc6338 </w:instrText>
      </w:r>
      <w:r>
        <w:rPr>
          <w:rFonts w:hint="eastAsia"/>
          <w:spacing w:val="0"/>
          <w:lang w:eastAsia="zh-CN"/>
        </w:rPr>
        <w:fldChar w:fldCharType="separate"/>
      </w:r>
      <w:r>
        <w:rPr>
          <w:rFonts w:hint="eastAsia" w:ascii="黑体" w:eastAsia="黑体"/>
          <w:i w:val="0"/>
        </w:rPr>
        <w:t xml:space="preserve">3 </w:t>
      </w:r>
      <w:r>
        <w:rPr>
          <w:rFonts w:hint="eastAsia"/>
          <w:szCs w:val="21"/>
        </w:rPr>
        <w:t>术语和定义</w:t>
      </w:r>
      <w:r>
        <w:tab/>
      </w:r>
      <w:r>
        <w:fldChar w:fldCharType="begin"/>
      </w:r>
      <w:r>
        <w:instrText xml:space="preserve"> PAGEREF _Toc6338 \h </w:instrText>
      </w:r>
      <w:r>
        <w:fldChar w:fldCharType="separate"/>
      </w:r>
      <w:r>
        <w:t>2</w:t>
      </w:r>
      <w:r>
        <w:fldChar w:fldCharType="end"/>
      </w:r>
      <w:r>
        <w:rPr>
          <w:rFonts w:hint="eastAsia"/>
          <w:spacing w:val="0"/>
          <w:lang w:eastAsia="zh-CN"/>
        </w:rPr>
        <w:fldChar w:fldCharType="end"/>
      </w:r>
    </w:p>
    <w:p>
      <w:pPr>
        <w:pStyle w:val="19"/>
        <w:tabs>
          <w:tab w:val="right" w:leader="dot" w:pos="9354"/>
        </w:tabs>
      </w:pPr>
      <w:r>
        <w:rPr>
          <w:rFonts w:hint="eastAsia"/>
          <w:spacing w:val="0"/>
          <w:lang w:eastAsia="zh-CN"/>
        </w:rPr>
        <w:fldChar w:fldCharType="begin"/>
      </w:r>
      <w:r>
        <w:rPr>
          <w:rFonts w:hint="eastAsia"/>
          <w:spacing w:val="0"/>
          <w:lang w:eastAsia="zh-CN"/>
        </w:rPr>
        <w:instrText xml:space="preserve"> HYPERLINK \l _Toc22849 </w:instrText>
      </w:r>
      <w:r>
        <w:rPr>
          <w:rFonts w:hint="eastAsia"/>
          <w:spacing w:val="0"/>
          <w:lang w:eastAsia="zh-CN"/>
        </w:rPr>
        <w:fldChar w:fldCharType="separate"/>
      </w:r>
      <w:r>
        <w:rPr>
          <w:rFonts w:hint="eastAsia" w:ascii="黑体" w:eastAsia="黑体"/>
          <w:i w:val="0"/>
        </w:rPr>
        <w:t xml:space="preserve">4 </w:t>
      </w:r>
      <w:r>
        <w:rPr>
          <w:rFonts w:hint="eastAsia"/>
          <w:lang w:val="en-US" w:eastAsia="zh-CN"/>
        </w:rPr>
        <w:t>检测类别和范围</w:t>
      </w:r>
      <w:r>
        <w:tab/>
      </w:r>
      <w:r>
        <w:fldChar w:fldCharType="begin"/>
      </w:r>
      <w:r>
        <w:instrText xml:space="preserve"> PAGEREF _Toc22849 \h </w:instrText>
      </w:r>
      <w:r>
        <w:fldChar w:fldCharType="separate"/>
      </w:r>
      <w:r>
        <w:t>4</w:t>
      </w:r>
      <w:r>
        <w:fldChar w:fldCharType="end"/>
      </w:r>
      <w:r>
        <w:rPr>
          <w:rFonts w:hint="eastAsia"/>
          <w:spacing w:val="0"/>
          <w:lang w:eastAsia="zh-CN"/>
        </w:rPr>
        <w:fldChar w:fldCharType="end"/>
      </w:r>
    </w:p>
    <w:p>
      <w:pPr>
        <w:pStyle w:val="19"/>
        <w:tabs>
          <w:tab w:val="right" w:leader="dot" w:pos="9354"/>
        </w:tabs>
      </w:pPr>
      <w:r>
        <w:rPr>
          <w:rFonts w:hint="eastAsia"/>
          <w:spacing w:val="0"/>
          <w:lang w:eastAsia="zh-CN"/>
        </w:rPr>
        <w:fldChar w:fldCharType="begin"/>
      </w:r>
      <w:r>
        <w:rPr>
          <w:rFonts w:hint="eastAsia"/>
          <w:spacing w:val="0"/>
          <w:lang w:eastAsia="zh-CN"/>
        </w:rPr>
        <w:instrText xml:space="preserve"> HYPERLINK \l _Toc21138 </w:instrText>
      </w:r>
      <w:r>
        <w:rPr>
          <w:rFonts w:hint="eastAsia"/>
          <w:spacing w:val="0"/>
          <w:lang w:eastAsia="zh-CN"/>
        </w:rPr>
        <w:fldChar w:fldCharType="separate"/>
      </w:r>
      <w:r>
        <w:rPr>
          <w:rFonts w:hint="eastAsia" w:ascii="黑体" w:eastAsia="黑体"/>
          <w:i w:val="0"/>
        </w:rPr>
        <w:t xml:space="preserve">5 </w:t>
      </w:r>
      <w:r>
        <w:rPr>
          <w:rFonts w:hint="eastAsia"/>
        </w:rPr>
        <w:t>防雷分类和防雷区划分</w:t>
      </w:r>
      <w:r>
        <w:tab/>
      </w:r>
      <w:r>
        <w:fldChar w:fldCharType="begin"/>
      </w:r>
      <w:r>
        <w:instrText xml:space="preserve"> PAGEREF _Toc21138 \h </w:instrText>
      </w:r>
      <w:r>
        <w:fldChar w:fldCharType="separate"/>
      </w:r>
      <w:r>
        <w:t>4</w:t>
      </w:r>
      <w:r>
        <w:fldChar w:fldCharType="end"/>
      </w:r>
      <w:r>
        <w:rPr>
          <w:rFonts w:hint="eastAsia"/>
          <w:spacing w:val="0"/>
          <w:lang w:eastAsia="zh-CN"/>
        </w:rPr>
        <w:fldChar w:fldCharType="end"/>
      </w:r>
    </w:p>
    <w:p>
      <w:pPr>
        <w:pStyle w:val="19"/>
        <w:tabs>
          <w:tab w:val="right" w:leader="dot" w:pos="9354"/>
        </w:tabs>
      </w:pPr>
      <w:r>
        <w:rPr>
          <w:rFonts w:hint="eastAsia"/>
          <w:spacing w:val="0"/>
          <w:lang w:eastAsia="zh-CN"/>
        </w:rPr>
        <w:fldChar w:fldCharType="begin"/>
      </w:r>
      <w:r>
        <w:rPr>
          <w:rFonts w:hint="eastAsia"/>
          <w:spacing w:val="0"/>
          <w:lang w:eastAsia="zh-CN"/>
        </w:rPr>
        <w:instrText xml:space="preserve"> HYPERLINK \l _Toc20391 </w:instrText>
      </w:r>
      <w:r>
        <w:rPr>
          <w:rFonts w:hint="eastAsia"/>
          <w:spacing w:val="0"/>
          <w:lang w:eastAsia="zh-CN"/>
        </w:rPr>
        <w:fldChar w:fldCharType="separate"/>
      </w:r>
      <w:r>
        <w:rPr>
          <w:rFonts w:hint="eastAsia" w:ascii="黑体" w:eastAsia="黑体"/>
          <w:i w:val="0"/>
          <w:lang w:val="en-US" w:eastAsia="zh-CN"/>
        </w:rPr>
        <w:t xml:space="preserve">6 </w:t>
      </w:r>
      <w:r>
        <w:rPr>
          <w:rFonts w:hint="eastAsia"/>
          <w:lang w:val="en-US" w:eastAsia="zh-CN"/>
        </w:rPr>
        <w:t>检测项目</w:t>
      </w:r>
      <w:r>
        <w:tab/>
      </w:r>
      <w:r>
        <w:fldChar w:fldCharType="begin"/>
      </w:r>
      <w:r>
        <w:instrText xml:space="preserve"> PAGEREF _Toc20391 \h </w:instrText>
      </w:r>
      <w:r>
        <w:fldChar w:fldCharType="separate"/>
      </w:r>
      <w:r>
        <w:t>5</w:t>
      </w:r>
      <w:r>
        <w:fldChar w:fldCharType="end"/>
      </w:r>
      <w:r>
        <w:rPr>
          <w:rFonts w:hint="eastAsia"/>
          <w:spacing w:val="0"/>
          <w:lang w:eastAsia="zh-CN"/>
        </w:rPr>
        <w:fldChar w:fldCharType="end"/>
      </w:r>
    </w:p>
    <w:p>
      <w:pPr>
        <w:pStyle w:val="19"/>
        <w:tabs>
          <w:tab w:val="right" w:leader="dot" w:pos="9354"/>
        </w:tabs>
      </w:pPr>
      <w:r>
        <w:rPr>
          <w:rFonts w:hint="eastAsia"/>
          <w:spacing w:val="0"/>
          <w:lang w:eastAsia="zh-CN"/>
        </w:rPr>
        <w:fldChar w:fldCharType="begin"/>
      </w:r>
      <w:r>
        <w:rPr>
          <w:rFonts w:hint="eastAsia"/>
          <w:spacing w:val="0"/>
          <w:lang w:eastAsia="zh-CN"/>
        </w:rPr>
        <w:instrText xml:space="preserve"> HYPERLINK \l _Toc23277 </w:instrText>
      </w:r>
      <w:r>
        <w:rPr>
          <w:rFonts w:hint="eastAsia"/>
          <w:spacing w:val="0"/>
          <w:lang w:eastAsia="zh-CN"/>
        </w:rPr>
        <w:fldChar w:fldCharType="separate"/>
      </w:r>
      <w:r>
        <w:rPr>
          <w:rFonts w:hint="eastAsia" w:ascii="黑体" w:eastAsia="黑体"/>
          <w:i w:val="0"/>
          <w:lang w:val="en-US" w:eastAsia="zh-CN"/>
        </w:rPr>
        <w:t xml:space="preserve">7 </w:t>
      </w:r>
      <w:r>
        <w:rPr>
          <w:rFonts w:hint="eastAsia"/>
        </w:rPr>
        <w:t>检测作业要求和安全措施</w:t>
      </w:r>
      <w:r>
        <w:tab/>
      </w:r>
      <w:r>
        <w:fldChar w:fldCharType="begin"/>
      </w:r>
      <w:r>
        <w:instrText xml:space="preserve"> PAGEREF _Toc23277 \h </w:instrText>
      </w:r>
      <w:r>
        <w:fldChar w:fldCharType="separate"/>
      </w:r>
      <w:r>
        <w:t>8</w:t>
      </w:r>
      <w:r>
        <w:fldChar w:fldCharType="end"/>
      </w:r>
      <w:r>
        <w:rPr>
          <w:rFonts w:hint="eastAsia"/>
          <w:spacing w:val="0"/>
          <w:lang w:eastAsia="zh-CN"/>
        </w:rPr>
        <w:fldChar w:fldCharType="end"/>
      </w:r>
    </w:p>
    <w:p>
      <w:pPr>
        <w:pStyle w:val="19"/>
        <w:tabs>
          <w:tab w:val="right" w:leader="dot" w:pos="9354"/>
        </w:tabs>
      </w:pPr>
      <w:r>
        <w:rPr>
          <w:rFonts w:hint="eastAsia"/>
          <w:spacing w:val="0"/>
          <w:lang w:eastAsia="zh-CN"/>
        </w:rPr>
        <w:fldChar w:fldCharType="begin"/>
      </w:r>
      <w:r>
        <w:rPr>
          <w:rFonts w:hint="eastAsia"/>
          <w:spacing w:val="0"/>
          <w:lang w:eastAsia="zh-CN"/>
        </w:rPr>
        <w:instrText xml:space="preserve"> HYPERLINK \l _Toc9133 </w:instrText>
      </w:r>
      <w:r>
        <w:rPr>
          <w:rFonts w:hint="eastAsia"/>
          <w:spacing w:val="0"/>
          <w:lang w:eastAsia="zh-CN"/>
        </w:rPr>
        <w:fldChar w:fldCharType="separate"/>
      </w:r>
      <w:r>
        <w:rPr>
          <w:rFonts w:hint="eastAsia" w:ascii="黑体" w:eastAsia="黑体"/>
          <w:i w:val="0"/>
          <w:lang w:val="en-US" w:eastAsia="zh-CN"/>
        </w:rPr>
        <w:t xml:space="preserve">8 </w:t>
      </w:r>
      <w:r>
        <w:rPr>
          <w:rFonts w:hint="eastAsia"/>
          <w:lang w:val="en-US" w:eastAsia="zh-CN"/>
        </w:rPr>
        <w:t>检测数据处理</w:t>
      </w:r>
      <w:r>
        <w:tab/>
      </w:r>
      <w:r>
        <w:fldChar w:fldCharType="begin"/>
      </w:r>
      <w:r>
        <w:instrText xml:space="preserve"> PAGEREF _Toc9133 \h </w:instrText>
      </w:r>
      <w:r>
        <w:fldChar w:fldCharType="separate"/>
      </w:r>
      <w:r>
        <w:t>8</w:t>
      </w:r>
      <w:r>
        <w:fldChar w:fldCharType="end"/>
      </w:r>
      <w:r>
        <w:rPr>
          <w:rFonts w:hint="eastAsia"/>
          <w:spacing w:val="0"/>
          <w:lang w:eastAsia="zh-CN"/>
        </w:rPr>
        <w:fldChar w:fldCharType="end"/>
      </w:r>
    </w:p>
    <w:p>
      <w:pPr>
        <w:pStyle w:val="19"/>
        <w:tabs>
          <w:tab w:val="right" w:leader="dot" w:pos="9354"/>
        </w:tabs>
      </w:pPr>
      <w:r>
        <w:rPr>
          <w:rFonts w:hint="eastAsia"/>
          <w:spacing w:val="0"/>
          <w:lang w:eastAsia="zh-CN"/>
        </w:rPr>
        <w:fldChar w:fldCharType="begin"/>
      </w:r>
      <w:r>
        <w:rPr>
          <w:rFonts w:hint="eastAsia"/>
          <w:spacing w:val="0"/>
          <w:lang w:eastAsia="zh-CN"/>
        </w:rPr>
        <w:instrText xml:space="preserve"> HYPERLINK \l _Toc26963 </w:instrText>
      </w:r>
      <w:r>
        <w:rPr>
          <w:rFonts w:hint="eastAsia"/>
          <w:spacing w:val="0"/>
          <w:lang w:eastAsia="zh-CN"/>
        </w:rPr>
        <w:fldChar w:fldCharType="separate"/>
      </w:r>
      <w:r>
        <w:rPr>
          <w:rFonts w:hint="eastAsia" w:ascii="黑体" w:eastAsia="黑体"/>
          <w:i w:val="0"/>
          <w:lang w:val="en-US" w:eastAsia="zh-CN"/>
        </w:rPr>
        <w:t xml:space="preserve">9 </w:t>
      </w:r>
      <w:r>
        <w:rPr>
          <w:rFonts w:hint="eastAsia"/>
        </w:rPr>
        <w:t>防雷装置检测报告</w:t>
      </w:r>
      <w:r>
        <w:tab/>
      </w:r>
      <w:r>
        <w:fldChar w:fldCharType="begin"/>
      </w:r>
      <w:r>
        <w:instrText xml:space="preserve"> PAGEREF _Toc26963 \h </w:instrText>
      </w:r>
      <w:r>
        <w:fldChar w:fldCharType="separate"/>
      </w:r>
      <w:r>
        <w:t>8</w:t>
      </w:r>
      <w:r>
        <w:fldChar w:fldCharType="end"/>
      </w:r>
      <w:r>
        <w:rPr>
          <w:rFonts w:hint="eastAsia"/>
          <w:spacing w:val="0"/>
          <w:lang w:eastAsia="zh-CN"/>
        </w:rPr>
        <w:fldChar w:fldCharType="end"/>
      </w:r>
    </w:p>
    <w:p>
      <w:pPr>
        <w:pStyle w:val="19"/>
        <w:tabs>
          <w:tab w:val="right" w:leader="dot" w:pos="9354"/>
        </w:tabs>
      </w:pPr>
      <w:r>
        <w:rPr>
          <w:rFonts w:hint="eastAsia"/>
          <w:spacing w:val="0"/>
          <w:lang w:eastAsia="zh-CN"/>
        </w:rPr>
        <w:fldChar w:fldCharType="begin"/>
      </w:r>
      <w:r>
        <w:rPr>
          <w:rFonts w:hint="eastAsia"/>
          <w:spacing w:val="0"/>
          <w:lang w:eastAsia="zh-CN"/>
        </w:rPr>
        <w:instrText xml:space="preserve"> HYPERLINK \l _Toc21082 </w:instrText>
      </w:r>
      <w:r>
        <w:rPr>
          <w:rFonts w:hint="eastAsia"/>
          <w:spacing w:val="0"/>
          <w:lang w:eastAsia="zh-CN"/>
        </w:rPr>
        <w:fldChar w:fldCharType="separate"/>
      </w:r>
      <w:r>
        <w:rPr>
          <w:rFonts w:hint="eastAsia"/>
          <w:spacing w:val="100"/>
          <w:lang w:val="en-US" w:eastAsia="zh-CN"/>
        </w:rPr>
        <w:t>附录A</w:t>
      </w:r>
      <w:r>
        <w:rPr>
          <w:rFonts w:hint="eastAsia"/>
          <w:lang w:val="en-US" w:eastAsia="zh-CN"/>
        </w:rPr>
        <w:t xml:space="preserve"> （规范性） 接地电阻测量方法</w:t>
      </w:r>
      <w:r>
        <w:tab/>
      </w:r>
      <w:r>
        <w:fldChar w:fldCharType="begin"/>
      </w:r>
      <w:r>
        <w:instrText xml:space="preserve"> PAGEREF _Toc21082 \h </w:instrText>
      </w:r>
      <w:r>
        <w:fldChar w:fldCharType="separate"/>
      </w:r>
      <w:r>
        <w:t>9</w:t>
      </w:r>
      <w:r>
        <w:fldChar w:fldCharType="end"/>
      </w:r>
      <w:r>
        <w:rPr>
          <w:rFonts w:hint="eastAsia"/>
          <w:spacing w:val="0"/>
          <w:lang w:eastAsia="zh-CN"/>
        </w:rPr>
        <w:fldChar w:fldCharType="end"/>
      </w:r>
    </w:p>
    <w:p>
      <w:pPr>
        <w:pStyle w:val="19"/>
        <w:tabs>
          <w:tab w:val="right" w:leader="dot" w:pos="9354"/>
        </w:tabs>
      </w:pPr>
      <w:r>
        <w:rPr>
          <w:rFonts w:hint="eastAsia"/>
          <w:spacing w:val="0"/>
          <w:lang w:eastAsia="zh-CN"/>
        </w:rPr>
        <w:fldChar w:fldCharType="begin"/>
      </w:r>
      <w:r>
        <w:rPr>
          <w:rFonts w:hint="eastAsia"/>
          <w:spacing w:val="0"/>
          <w:lang w:eastAsia="zh-CN"/>
        </w:rPr>
        <w:instrText xml:space="preserve"> HYPERLINK \l _Toc20262 </w:instrText>
      </w:r>
      <w:r>
        <w:rPr>
          <w:rFonts w:hint="eastAsia"/>
          <w:spacing w:val="0"/>
          <w:lang w:eastAsia="zh-CN"/>
        </w:rPr>
        <w:fldChar w:fldCharType="separate"/>
      </w:r>
      <w:r>
        <w:rPr>
          <w:rFonts w:hint="eastAsia"/>
          <w:spacing w:val="100"/>
          <w:lang w:val="en-US" w:eastAsia="zh-CN"/>
        </w:rPr>
        <w:t>附录B</w:t>
      </w:r>
      <w:r>
        <w:rPr>
          <w:rFonts w:hint="eastAsia"/>
          <w:lang w:val="en-US" w:eastAsia="zh-CN"/>
        </w:rPr>
        <w:t xml:space="preserve"> （规范性） 接地网最大接地电阻值计算</w:t>
      </w:r>
      <w:r>
        <w:tab/>
      </w:r>
      <w:r>
        <w:fldChar w:fldCharType="begin"/>
      </w:r>
      <w:r>
        <w:instrText xml:space="preserve"> PAGEREF _Toc20262 \h </w:instrText>
      </w:r>
      <w:r>
        <w:fldChar w:fldCharType="separate"/>
      </w:r>
      <w:r>
        <w:t>10</w:t>
      </w:r>
      <w:r>
        <w:fldChar w:fldCharType="end"/>
      </w:r>
      <w:r>
        <w:rPr>
          <w:rFonts w:hint="eastAsia"/>
          <w:spacing w:val="0"/>
          <w:lang w:eastAsia="zh-CN"/>
        </w:rPr>
        <w:fldChar w:fldCharType="end"/>
      </w:r>
    </w:p>
    <w:p>
      <w:pPr>
        <w:pStyle w:val="91"/>
        <w:bidi w:val="0"/>
        <w:rPr>
          <w:rFonts w:hint="eastAsia"/>
          <w:spacing w:val="0"/>
          <w:lang w:eastAsia="zh-CN"/>
        </w:rPr>
        <w:sectPr>
          <w:headerReference r:id="rId11" w:type="default"/>
          <w:footerReference r:id="rId12" w:type="default"/>
          <w:pgSz w:w="11906" w:h="16838"/>
          <w:pgMar w:top="1928" w:right="1134" w:bottom="1134" w:left="1134" w:header="1418" w:footer="1134" w:gutter="284"/>
          <w:pgNumType w:fmt="upperRoman" w:start="1"/>
          <w:cols w:space="425" w:num="1"/>
          <w:formProt w:val="0"/>
          <w:docGrid w:type="lines" w:linePitch="312" w:charSpace="0"/>
        </w:sectPr>
      </w:pPr>
      <w:r>
        <w:rPr>
          <w:rFonts w:hint="eastAsia"/>
          <w:spacing w:val="0"/>
          <w:lang w:eastAsia="zh-CN"/>
        </w:rPr>
        <w:fldChar w:fldCharType="end"/>
      </w:r>
    </w:p>
    <w:bookmarkEnd w:id="21"/>
    <w:p>
      <w:pPr>
        <w:pStyle w:val="89"/>
        <w:bidi w:val="0"/>
        <w:spacing w:before="560"/>
        <w:rPr>
          <w:rFonts w:hint="eastAsia"/>
          <w:lang w:eastAsia="zh-CN"/>
        </w:rPr>
      </w:pPr>
      <w:bookmarkStart w:id="23" w:name="_Toc13699"/>
      <w:bookmarkStart w:id="24" w:name="BookMark2"/>
      <w:r>
        <w:rPr>
          <w:rFonts w:hint="eastAsia"/>
          <w:spacing w:val="320"/>
          <w:lang w:eastAsia="zh-CN"/>
        </w:rPr>
        <w:t>前</w:t>
      </w:r>
      <w:r>
        <w:rPr>
          <w:rFonts w:hint="eastAsia"/>
          <w:lang w:eastAsia="zh-CN"/>
        </w:rPr>
        <w:t>言</w:t>
      </w:r>
      <w:bookmarkEnd w:id="22"/>
      <w:bookmarkEnd w:id="23"/>
    </w:p>
    <w:p>
      <w:pPr>
        <w:pStyle w:val="56"/>
        <w:bidi w:val="0"/>
        <w:rPr>
          <w:rFonts w:hint="eastAsia"/>
          <w:lang w:eastAsia="zh-CN"/>
        </w:rPr>
      </w:pPr>
      <w:r>
        <w:rPr>
          <w:rFonts w:hint="eastAsia"/>
          <w:lang w:eastAsia="zh-CN"/>
        </w:rPr>
        <w:t>本文件按照GB/T 1.1—2020《标准化工作导则  第1部分：标准化文件的结构和起草规则》的规定起草。</w:t>
      </w:r>
    </w:p>
    <w:p>
      <w:pPr>
        <w:pStyle w:val="56"/>
        <w:bidi w:val="0"/>
        <w:rPr>
          <w:rFonts w:hint="eastAsia"/>
          <w:lang w:eastAsia="zh-CN"/>
        </w:rPr>
      </w:pPr>
      <w:r>
        <w:rPr>
          <w:rFonts w:hint="eastAsia"/>
          <w:lang w:eastAsia="zh-CN"/>
        </w:rPr>
        <w:t>本文件由海南省气象局提出</w:t>
      </w:r>
      <w:r>
        <w:rPr>
          <w:rFonts w:hint="eastAsia"/>
          <w:lang w:val="en-US" w:eastAsia="zh-CN"/>
        </w:rPr>
        <w:t>并</w:t>
      </w:r>
      <w:r>
        <w:rPr>
          <w:rFonts w:hint="eastAsia"/>
          <w:lang w:eastAsia="zh-CN"/>
        </w:rPr>
        <w:t>归口。</w:t>
      </w:r>
    </w:p>
    <w:p>
      <w:pPr>
        <w:pStyle w:val="56"/>
        <w:bidi w:val="0"/>
        <w:rPr>
          <w:rFonts w:hint="eastAsia"/>
          <w:lang w:eastAsia="zh-CN"/>
        </w:rPr>
      </w:pPr>
      <w:r>
        <w:rPr>
          <w:rFonts w:hint="eastAsia"/>
          <w:lang w:eastAsia="zh-CN"/>
        </w:rPr>
        <w:t>本文件起草单位：海南省气象服务中心、海南省儋州市气象局、</w:t>
      </w:r>
      <w:bookmarkStart w:id="25" w:name="OLE_LINK3"/>
      <w:r>
        <w:rPr>
          <w:rFonts w:hint="eastAsia"/>
          <w:lang w:eastAsia="zh-CN"/>
        </w:rPr>
        <w:t>海南祥云雷电防护有限公司、海南华星风云科技信息有限公司</w:t>
      </w:r>
      <w:bookmarkEnd w:id="25"/>
      <w:r>
        <w:rPr>
          <w:rFonts w:hint="eastAsia"/>
          <w:lang w:eastAsia="zh-CN"/>
        </w:rPr>
        <w:t>。</w:t>
      </w:r>
    </w:p>
    <w:p>
      <w:pPr>
        <w:pStyle w:val="56"/>
        <w:bidi w:val="0"/>
        <w:rPr>
          <w:rFonts w:hint="default"/>
          <w:lang w:val="en-US" w:eastAsia="zh-CN"/>
        </w:rPr>
      </w:pPr>
      <w:r>
        <w:rPr>
          <w:rFonts w:hint="eastAsia"/>
          <w:lang w:eastAsia="zh-CN"/>
        </w:rPr>
        <w:t>本文件主要起草人：</w:t>
      </w:r>
      <w:r>
        <w:rPr>
          <w:rFonts w:hint="eastAsia"/>
          <w:lang w:val="en-US" w:eastAsia="zh-CN"/>
        </w:rPr>
        <w:t>余海、黄海静、陈之禄、朱雪原、周方聪、张滢滢、赖春光、徐杰、钟呈、陈升孛。</w:t>
      </w:r>
    </w:p>
    <w:p>
      <w:pPr>
        <w:pStyle w:val="56"/>
        <w:bidi w:val="0"/>
        <w:rPr>
          <w:rFonts w:hint="eastAsia"/>
          <w:lang w:eastAsia="zh-CN"/>
        </w:rPr>
      </w:pPr>
    </w:p>
    <w:p>
      <w:pPr>
        <w:pStyle w:val="56"/>
        <w:bidi w:val="0"/>
        <w:rPr>
          <w:rFonts w:hint="eastAsia"/>
          <w:lang w:eastAsia="zh-CN"/>
        </w:rPr>
      </w:pPr>
    </w:p>
    <w:p>
      <w:pPr>
        <w:pStyle w:val="56"/>
        <w:bidi w:val="0"/>
        <w:rPr>
          <w:rFonts w:hint="eastAsia"/>
          <w:lang w:eastAsia="zh-CN"/>
        </w:rPr>
      </w:pPr>
    </w:p>
    <w:p>
      <w:pPr>
        <w:pStyle w:val="56"/>
        <w:bidi w:val="0"/>
        <w:rPr>
          <w:rFonts w:hint="eastAsia"/>
          <w:lang w:eastAsia="zh-CN"/>
        </w:rPr>
      </w:pPr>
    </w:p>
    <w:p>
      <w:pPr>
        <w:pStyle w:val="56"/>
        <w:bidi w:val="0"/>
        <w:rPr>
          <w:rFonts w:hint="eastAsia"/>
          <w:lang w:eastAsia="zh-CN"/>
        </w:rPr>
        <w:sectPr>
          <w:pgSz w:w="11906" w:h="16838"/>
          <w:pgMar w:top="1928" w:right="1134" w:bottom="1134" w:left="1134" w:header="1418" w:footer="1134" w:gutter="284"/>
          <w:pgNumType w:fmt="upperRoman"/>
          <w:cols w:space="425" w:num="1"/>
          <w:formProt w:val="0"/>
          <w:docGrid w:type="lines" w:linePitch="312" w:charSpace="0"/>
        </w:sectPr>
      </w:pPr>
    </w:p>
    <w:bookmarkEnd w:id="24"/>
    <w:p>
      <w:pPr>
        <w:spacing w:line="20" w:lineRule="exact"/>
        <w:jc w:val="center"/>
        <w:rPr>
          <w:rFonts w:ascii="黑体" w:hAnsi="黑体" w:eastAsia="黑体"/>
          <w:sz w:val="32"/>
          <w:szCs w:val="32"/>
        </w:rPr>
      </w:pPr>
      <w:bookmarkStart w:id="26" w:name="BookMark4"/>
    </w:p>
    <w:p>
      <w:pPr>
        <w:spacing w:line="20" w:lineRule="exact"/>
        <w:jc w:val="center"/>
        <w:rPr>
          <w:rFonts w:ascii="黑体" w:hAnsi="黑体" w:eastAsia="黑体"/>
          <w:sz w:val="32"/>
          <w:szCs w:val="32"/>
        </w:rPr>
      </w:pPr>
    </w:p>
    <w:sdt>
      <w:sdtPr>
        <w:tag w:val="NEW_STAND_NAME"/>
        <w:id w:val="595910757"/>
        <w:lock w:val="sdtLocked"/>
        <w:placeholder>
          <w:docPart w:val="E29255EA8535446A8698BCEB2DD58785"/>
        </w:placeholder>
      </w:sdtPr>
      <w:sdtContent>
        <w:p>
          <w:pPr>
            <w:pStyle w:val="177"/>
            <w:bidi w:val="0"/>
            <w:spacing w:before="313" w:beforeLines="100" w:after="687" w:afterLines="220"/>
          </w:pPr>
          <w:bookmarkStart w:id="27" w:name="NEW_STAND_NAME"/>
          <w:r>
            <w:rPr>
              <w:rFonts w:hint="eastAsia"/>
              <w:lang w:val="en-US" w:eastAsia="zh-CN"/>
            </w:rPr>
            <w:t xml:space="preserve">   海上风电场防雷装置检测技术规范     </w:t>
          </w:r>
        </w:p>
      </w:sdtContent>
    </w:sdt>
    <w:bookmarkEnd w:id="27"/>
    <w:p>
      <w:pPr>
        <w:pStyle w:val="104"/>
        <w:spacing w:before="312" w:after="312"/>
      </w:pPr>
      <w:bookmarkStart w:id="28" w:name="_Toc19050"/>
      <w:bookmarkStart w:id="29" w:name="_Toc13221"/>
      <w:bookmarkStart w:id="30" w:name="_Toc17233333"/>
      <w:bookmarkStart w:id="31" w:name="_Toc17233325"/>
      <w:bookmarkStart w:id="32" w:name="_Toc24884218"/>
      <w:bookmarkStart w:id="33" w:name="_Toc26986771"/>
      <w:bookmarkStart w:id="34" w:name="_Toc24884211"/>
      <w:bookmarkStart w:id="35" w:name="_Toc228"/>
      <w:bookmarkStart w:id="36" w:name="_Toc26986530"/>
      <w:bookmarkStart w:id="37" w:name="_Toc26718930"/>
      <w:bookmarkStart w:id="38" w:name="_Toc26648465"/>
      <w:bookmarkStart w:id="39" w:name="_Toc97191423"/>
      <w:r>
        <w:rPr>
          <w:rFonts w:hint="eastAsia"/>
        </w:rPr>
        <w:t>范围</w:t>
      </w:r>
      <w:bookmarkEnd w:id="28"/>
      <w:bookmarkEnd w:id="29"/>
      <w:bookmarkEnd w:id="30"/>
      <w:bookmarkEnd w:id="31"/>
      <w:bookmarkEnd w:id="32"/>
      <w:bookmarkEnd w:id="33"/>
      <w:bookmarkEnd w:id="34"/>
      <w:bookmarkEnd w:id="35"/>
      <w:bookmarkEnd w:id="36"/>
      <w:bookmarkEnd w:id="37"/>
      <w:bookmarkEnd w:id="38"/>
      <w:bookmarkEnd w:id="39"/>
    </w:p>
    <w:p>
      <w:pPr>
        <w:pStyle w:val="56"/>
        <w:rPr>
          <w:rFonts w:hint="eastAsia"/>
        </w:rPr>
      </w:pPr>
      <w:r>
        <w:rPr>
          <w:rFonts w:hint="eastAsia"/>
        </w:rPr>
        <w:t>本标准规定了海上风电场的检测类别和范围、防雷分类和防雷区划分、检测项目、检测作业要求和安全措施、检测数据处理、防雷装置检测报告。</w:t>
      </w:r>
    </w:p>
    <w:p>
      <w:pPr>
        <w:pStyle w:val="56"/>
      </w:pPr>
      <w:r>
        <w:rPr>
          <w:rFonts w:hint="eastAsia"/>
        </w:rPr>
        <w:t>本文件适用于海上风电场的防雷</w:t>
      </w:r>
      <w:r>
        <w:rPr>
          <w:rFonts w:hint="eastAsia"/>
          <w:lang w:val="en-US" w:eastAsia="zh-CN"/>
        </w:rPr>
        <w:t>装置</w:t>
      </w:r>
      <w:r>
        <w:rPr>
          <w:rFonts w:hint="eastAsia"/>
        </w:rPr>
        <w:t>检测。</w:t>
      </w:r>
    </w:p>
    <w:p>
      <w:pPr>
        <w:pStyle w:val="104"/>
        <w:spacing w:before="312" w:after="312"/>
      </w:pPr>
      <w:bookmarkStart w:id="40" w:name="_Toc26648466"/>
      <w:bookmarkStart w:id="41" w:name="_Toc21453"/>
      <w:bookmarkStart w:id="42" w:name="_Toc13216"/>
      <w:bookmarkStart w:id="43" w:name="_Toc24884212"/>
      <w:bookmarkStart w:id="44" w:name="_Toc17233326"/>
      <w:bookmarkStart w:id="45" w:name="_Toc26718931"/>
      <w:bookmarkStart w:id="46" w:name="_Toc26986772"/>
      <w:bookmarkStart w:id="47" w:name="_Toc17233334"/>
      <w:bookmarkStart w:id="48" w:name="_Toc97191424"/>
      <w:bookmarkStart w:id="49" w:name="_Toc26986531"/>
      <w:bookmarkStart w:id="50" w:name="_Toc24884219"/>
      <w:bookmarkStart w:id="51" w:name="_Toc8637"/>
      <w:r>
        <w:rPr>
          <w:rFonts w:hint="eastAsia"/>
        </w:rPr>
        <w:t>规范性引用文件</w:t>
      </w:r>
      <w:bookmarkEnd w:id="40"/>
      <w:bookmarkEnd w:id="41"/>
      <w:bookmarkEnd w:id="42"/>
      <w:bookmarkEnd w:id="43"/>
      <w:bookmarkEnd w:id="44"/>
      <w:bookmarkEnd w:id="45"/>
      <w:bookmarkEnd w:id="46"/>
      <w:bookmarkEnd w:id="47"/>
      <w:bookmarkEnd w:id="48"/>
      <w:bookmarkEnd w:id="49"/>
      <w:bookmarkEnd w:id="50"/>
      <w:bookmarkEnd w:id="51"/>
    </w:p>
    <w:sdt>
      <w:sdtPr>
        <w:rPr>
          <w:rFonts w:hint="eastAsia"/>
        </w:rPr>
        <w:id w:val="715848253"/>
        <w:placeholder>
          <w:docPart w:val="8AB26F249DB443D0B5D6F273C4C91EBD"/>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56"/>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56"/>
        <w:ind w:firstLine="420"/>
        <w:rPr>
          <w:rFonts w:hint="eastAsia"/>
        </w:rPr>
      </w:pPr>
      <w:r>
        <w:rPr>
          <w:rFonts w:hint="eastAsia"/>
        </w:rPr>
        <w:t>GB 50057-2010 建筑物防雷设计规范</w:t>
      </w:r>
    </w:p>
    <w:p>
      <w:pPr>
        <w:pStyle w:val="56"/>
        <w:ind w:firstLine="420"/>
        <w:rPr>
          <w:rFonts w:hint="eastAsia"/>
        </w:rPr>
      </w:pPr>
      <w:r>
        <w:rPr>
          <w:rFonts w:hint="eastAsia"/>
        </w:rPr>
        <w:t>GB 50065-2011 交流电气装置的接地设计规范</w:t>
      </w:r>
    </w:p>
    <w:p>
      <w:pPr>
        <w:pStyle w:val="56"/>
        <w:ind w:firstLine="420"/>
        <w:rPr>
          <w:rFonts w:hint="eastAsia"/>
        </w:rPr>
      </w:pPr>
      <w:r>
        <w:rPr>
          <w:rFonts w:hint="eastAsia"/>
        </w:rPr>
        <w:t xml:space="preserve">GB/T 21431-2023 建筑物雷电防护装置检测技术规范 </w:t>
      </w:r>
    </w:p>
    <w:p>
      <w:pPr>
        <w:pStyle w:val="56"/>
        <w:ind w:firstLine="420"/>
        <w:rPr>
          <w:rFonts w:hint="eastAsia"/>
        </w:rPr>
      </w:pPr>
      <w:r>
        <w:rPr>
          <w:rFonts w:hint="eastAsia"/>
        </w:rPr>
        <w:t>GB/T 33629-2024 风能发电系统 雷电防护</w:t>
      </w:r>
    </w:p>
    <w:p>
      <w:pPr>
        <w:pStyle w:val="56"/>
        <w:ind w:firstLine="420"/>
        <w:rPr>
          <w:rFonts w:hint="eastAsia"/>
        </w:rPr>
      </w:pPr>
      <w:r>
        <w:rPr>
          <w:rFonts w:hint="eastAsia"/>
        </w:rPr>
        <w:t>GB/T 36490-2018 风力发电机组防雷装置检测技术规范</w:t>
      </w:r>
    </w:p>
    <w:p>
      <w:pPr>
        <w:pStyle w:val="56"/>
        <w:ind w:firstLine="420"/>
        <w:rPr>
          <w:rFonts w:hint="eastAsia"/>
        </w:rPr>
      </w:pPr>
      <w:r>
        <w:rPr>
          <w:rFonts w:hint="eastAsia"/>
        </w:rPr>
        <w:t>NB/T 10322-2019 海上升压站风电场运行规程</w:t>
      </w:r>
    </w:p>
    <w:p>
      <w:pPr>
        <w:pStyle w:val="56"/>
        <w:ind w:firstLine="420"/>
        <w:rPr>
          <w:rFonts w:hint="eastAsia"/>
        </w:rPr>
      </w:pPr>
      <w:r>
        <w:rPr>
          <w:rFonts w:hint="eastAsia"/>
        </w:rPr>
        <w:t>QX/T 312-2015 风力发电机组防雷装置检测技术规范</w:t>
      </w:r>
    </w:p>
    <w:p>
      <w:pPr>
        <w:pStyle w:val="56"/>
        <w:ind w:firstLine="420"/>
      </w:pPr>
      <w:r>
        <w:rPr>
          <w:rFonts w:hint="eastAsia"/>
        </w:rPr>
        <w:t>DL/T 475-2017 接地装置特性参数测量导则</w:t>
      </w:r>
    </w:p>
    <w:p>
      <w:pPr>
        <w:pStyle w:val="104"/>
        <w:spacing w:before="312" w:after="312"/>
      </w:pPr>
      <w:bookmarkStart w:id="52" w:name="_Toc22510"/>
      <w:bookmarkStart w:id="53" w:name="_Toc6338"/>
      <w:bookmarkStart w:id="54" w:name="_Toc97191425"/>
      <w:bookmarkStart w:id="55" w:name="_Toc23524"/>
      <w:r>
        <w:rPr>
          <w:rFonts w:hint="eastAsia"/>
          <w:szCs w:val="21"/>
        </w:rPr>
        <w:t>术语和定义</w:t>
      </w:r>
      <w:bookmarkEnd w:id="52"/>
      <w:bookmarkEnd w:id="53"/>
      <w:bookmarkEnd w:id="54"/>
      <w:bookmarkEnd w:id="55"/>
    </w:p>
    <w:sdt>
      <w:sdtPr>
        <w:id w:val="-1909835108"/>
        <w:placeholder>
          <w:docPart w:val="55B6A2045FF84569944B83F618A356CE"/>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pPr>
            <w:pStyle w:val="56"/>
            <w:ind w:firstLine="420"/>
          </w:pPr>
          <w:bookmarkStart w:id="56" w:name="_Toc26986532"/>
          <w:bookmarkEnd w:id="56"/>
          <w:r>
            <w:rPr>
              <w:rFonts w:ascii="宋体" w:hAnsi="Times New Roman" w:eastAsia="宋体" w:cs="Times New Roman"/>
              <w:sz w:val="21"/>
              <w:lang w:val="en-US" w:eastAsia="zh-CN" w:bidi="ar-SA"/>
            </w:rPr>
            <w:t>下列术语和定义适用于本文件。</w:t>
          </w:r>
        </w:p>
      </w:sdtContent>
    </w:sdt>
    <w:p>
      <w:pPr>
        <w:pStyle w:val="56"/>
        <w:ind w:firstLine="420"/>
      </w:pPr>
    </w:p>
    <w:p>
      <w:pPr>
        <w:pStyle w:val="105"/>
        <w:bidi w:val="0"/>
      </w:pPr>
      <w:bookmarkStart w:id="57" w:name="_Toc9861"/>
      <w:bookmarkEnd w:id="57"/>
      <w:bookmarkStart w:id="58" w:name="_Toc31626"/>
      <w:bookmarkEnd w:id="58"/>
      <w:bookmarkStart w:id="59" w:name="_Toc32141"/>
      <w:bookmarkEnd w:id="59"/>
      <w:bookmarkStart w:id="60" w:name="_Toc19868"/>
      <w:bookmarkEnd w:id="60"/>
    </w:p>
    <w:p>
      <w:pPr>
        <w:pStyle w:val="56"/>
        <w:rPr>
          <w:rFonts w:hint="eastAsia"/>
        </w:rPr>
      </w:pPr>
      <w:r>
        <w:rPr>
          <w:rFonts w:hint="eastAsia"/>
        </w:rPr>
        <w:t>雷电防护装置</w:t>
      </w:r>
      <w:r>
        <w:rPr>
          <w:rFonts w:hint="eastAsia"/>
          <w:lang w:val="en-US" w:eastAsia="zh-CN"/>
        </w:rPr>
        <w:t xml:space="preserve"> </w:t>
      </w:r>
      <w:r>
        <w:rPr>
          <w:rFonts w:hint="eastAsia"/>
        </w:rPr>
        <w:t>lightning protection system；LPS</w:t>
      </w:r>
    </w:p>
    <w:p>
      <w:pPr>
        <w:pStyle w:val="56"/>
        <w:rPr>
          <w:rFonts w:hint="eastAsia"/>
        </w:rPr>
      </w:pPr>
      <w:r>
        <w:rPr>
          <w:rFonts w:hint="eastAsia"/>
        </w:rPr>
        <w:t>用来减小雷击建筑物造成人身伤害和物理损害的整个系统。</w:t>
      </w:r>
    </w:p>
    <w:p>
      <w:pPr>
        <w:pStyle w:val="56"/>
        <w:rPr>
          <w:rFonts w:hint="eastAsia"/>
        </w:rPr>
      </w:pPr>
      <w:r>
        <w:rPr>
          <w:rFonts w:hint="eastAsia"/>
        </w:rPr>
        <w:t>注:LPS由外部和内部雷电防护装置两部分构成。</w:t>
      </w:r>
    </w:p>
    <w:p>
      <w:pPr>
        <w:pStyle w:val="56"/>
      </w:pPr>
      <w:r>
        <w:rPr>
          <w:rFonts w:hint="eastAsia"/>
        </w:rPr>
        <w:t>[来源：GB/T 21431-2023，3.1]</w:t>
      </w:r>
    </w:p>
    <w:p>
      <w:pPr>
        <w:pStyle w:val="105"/>
        <w:bidi w:val="0"/>
      </w:pPr>
      <w:bookmarkStart w:id="61" w:name="_Toc5826"/>
      <w:bookmarkEnd w:id="61"/>
      <w:bookmarkStart w:id="62" w:name="_Toc11787"/>
      <w:bookmarkEnd w:id="62"/>
      <w:bookmarkStart w:id="63" w:name="_Toc14821"/>
      <w:bookmarkEnd w:id="63"/>
    </w:p>
    <w:p>
      <w:pPr>
        <w:pStyle w:val="56"/>
        <w:ind w:firstLine="420"/>
        <w:rPr>
          <w:rFonts w:hint="eastAsia"/>
        </w:rPr>
      </w:pPr>
      <w:r>
        <w:rPr>
          <w:rFonts w:hint="eastAsia"/>
        </w:rPr>
        <w:t>雷电防护装置检测</w:t>
      </w:r>
      <w:r>
        <w:rPr>
          <w:rFonts w:hint="eastAsia"/>
          <w:lang w:val="en-US" w:eastAsia="zh-CN"/>
        </w:rPr>
        <w:t xml:space="preserve"> </w:t>
      </w:r>
      <w:r>
        <w:rPr>
          <w:rFonts w:hint="eastAsia"/>
        </w:rPr>
        <w:t>inspection of lightning protection system</w:t>
      </w:r>
    </w:p>
    <w:p>
      <w:pPr>
        <w:pStyle w:val="56"/>
        <w:ind w:firstLine="420"/>
        <w:rPr>
          <w:rFonts w:hint="eastAsia"/>
        </w:rPr>
      </w:pPr>
      <w:r>
        <w:rPr>
          <w:rFonts w:hint="eastAsia"/>
        </w:rPr>
        <w:t>为确定雷电防护装置是否满足标准要求而进行的检查、测量及信息综合分析处理全过程。</w:t>
      </w:r>
    </w:p>
    <w:p>
      <w:pPr>
        <w:pStyle w:val="56"/>
        <w:ind w:firstLine="420"/>
      </w:pPr>
      <w:r>
        <w:rPr>
          <w:rFonts w:hint="eastAsia"/>
        </w:rPr>
        <w:t>[来源：GB/T 21431-2023，3.2]</w:t>
      </w:r>
    </w:p>
    <w:p>
      <w:pPr>
        <w:pStyle w:val="56"/>
        <w:ind w:firstLine="420"/>
      </w:pPr>
    </w:p>
    <w:p>
      <w:pPr>
        <w:pStyle w:val="105"/>
        <w:bidi w:val="0"/>
      </w:pPr>
      <w:bookmarkStart w:id="64" w:name="_Toc32295"/>
      <w:bookmarkEnd w:id="64"/>
      <w:bookmarkStart w:id="65" w:name="_Toc28064"/>
      <w:bookmarkEnd w:id="65"/>
      <w:bookmarkStart w:id="66" w:name="_Toc9199"/>
      <w:bookmarkEnd w:id="66"/>
    </w:p>
    <w:p>
      <w:pPr>
        <w:pStyle w:val="56"/>
        <w:rPr>
          <w:rFonts w:hint="eastAsia"/>
        </w:rPr>
      </w:pPr>
      <w:r>
        <w:rPr>
          <w:rFonts w:hint="eastAsia"/>
        </w:rPr>
        <w:t>接闪器 air-termination system</w:t>
      </w:r>
    </w:p>
    <w:p>
      <w:pPr>
        <w:pStyle w:val="56"/>
        <w:rPr>
          <w:rFonts w:hint="eastAsia"/>
        </w:rPr>
      </w:pPr>
      <w:r>
        <w:rPr>
          <w:rFonts w:hint="eastAsia"/>
        </w:rPr>
        <w:t>外部LPS的组成部分,用于拦截雷击的金属部件。</w:t>
      </w:r>
    </w:p>
    <w:p>
      <w:pPr>
        <w:pStyle w:val="56"/>
        <w:rPr>
          <w:rFonts w:hint="eastAsia"/>
        </w:rPr>
      </w:pPr>
      <w:r>
        <w:rPr>
          <w:rFonts w:hint="eastAsia"/>
        </w:rPr>
        <w:t>注:如接闪杆、接闪带、接闪网或接闪线等</w:t>
      </w:r>
    </w:p>
    <w:p>
      <w:pPr>
        <w:pStyle w:val="56"/>
        <w:rPr>
          <w:rFonts w:hint="eastAsia"/>
        </w:rPr>
      </w:pPr>
      <w:r>
        <w:rPr>
          <w:rFonts w:hint="eastAsia"/>
        </w:rPr>
        <w:t>[来源：GB/T 21431-2023，3.3]</w:t>
      </w:r>
    </w:p>
    <w:p>
      <w:pPr>
        <w:pStyle w:val="105"/>
        <w:bidi w:val="0"/>
        <w:rPr>
          <w:rFonts w:hint="eastAsia"/>
        </w:rPr>
      </w:pPr>
      <w:bookmarkStart w:id="67" w:name="_Toc12959"/>
      <w:bookmarkEnd w:id="67"/>
      <w:bookmarkStart w:id="68" w:name="_Toc19706"/>
      <w:bookmarkEnd w:id="68"/>
      <w:bookmarkStart w:id="69" w:name="_Toc25813"/>
      <w:bookmarkEnd w:id="69"/>
    </w:p>
    <w:p>
      <w:pPr>
        <w:pStyle w:val="56"/>
        <w:rPr>
          <w:rFonts w:hint="eastAsia"/>
        </w:rPr>
      </w:pPr>
      <w:r>
        <w:rPr>
          <w:rFonts w:hint="eastAsia"/>
        </w:rPr>
        <w:t>引下线 down-conductor system</w:t>
      </w:r>
    </w:p>
    <w:p>
      <w:pPr>
        <w:pStyle w:val="56"/>
        <w:rPr>
          <w:rFonts w:hint="eastAsia"/>
        </w:rPr>
      </w:pPr>
      <w:r>
        <w:rPr>
          <w:rFonts w:hint="eastAsia"/>
        </w:rPr>
        <w:t>外部LPS的组成部分,用于将雷电流从接闪器传导至接地装置的导体。</w:t>
      </w:r>
    </w:p>
    <w:p>
      <w:pPr>
        <w:pStyle w:val="56"/>
        <w:rPr>
          <w:rFonts w:hint="eastAsia"/>
        </w:rPr>
      </w:pPr>
      <w:r>
        <w:rPr>
          <w:rFonts w:hint="eastAsia"/>
        </w:rPr>
        <w:t>[来源：GB/T 21431-2023，3.4]</w:t>
      </w:r>
    </w:p>
    <w:p>
      <w:pPr>
        <w:pStyle w:val="105"/>
        <w:bidi w:val="0"/>
        <w:rPr>
          <w:rFonts w:hint="eastAsia"/>
        </w:rPr>
      </w:pPr>
      <w:bookmarkStart w:id="70" w:name="_Toc13212"/>
      <w:bookmarkEnd w:id="70"/>
      <w:bookmarkStart w:id="71" w:name="_Toc214"/>
      <w:bookmarkEnd w:id="71"/>
      <w:bookmarkStart w:id="72" w:name="_Toc21959"/>
      <w:bookmarkEnd w:id="72"/>
    </w:p>
    <w:p>
      <w:pPr>
        <w:pStyle w:val="56"/>
        <w:rPr>
          <w:rFonts w:hint="eastAsia"/>
        </w:rPr>
      </w:pPr>
      <w:r>
        <w:rPr>
          <w:rFonts w:hint="eastAsia"/>
        </w:rPr>
        <w:t>防雷等电位连接 lightning equipotential bonding;LEB</w:t>
      </w:r>
    </w:p>
    <w:p>
      <w:pPr>
        <w:pStyle w:val="56"/>
        <w:rPr>
          <w:rFonts w:hint="eastAsia"/>
        </w:rPr>
      </w:pPr>
      <w:r>
        <w:rPr>
          <w:rFonts w:hint="eastAsia"/>
        </w:rPr>
        <w:t>将分开的诸金属物体直接用连接导体或经电涌保护器连接到防雷装置上以减少雷电流引发的电位差。</w:t>
      </w:r>
    </w:p>
    <w:p>
      <w:pPr>
        <w:pStyle w:val="56"/>
        <w:rPr>
          <w:rFonts w:hint="eastAsia"/>
        </w:rPr>
      </w:pPr>
      <w:r>
        <w:rPr>
          <w:rFonts w:hint="eastAsia"/>
        </w:rPr>
        <w:t>[来源：GB 50057-2010,2.0.19]</w:t>
      </w:r>
    </w:p>
    <w:p>
      <w:pPr>
        <w:pStyle w:val="105"/>
        <w:bidi w:val="0"/>
        <w:rPr>
          <w:rFonts w:hint="eastAsia"/>
        </w:rPr>
      </w:pPr>
      <w:bookmarkStart w:id="73" w:name="_Toc13880"/>
      <w:bookmarkEnd w:id="73"/>
      <w:bookmarkStart w:id="74" w:name="_Toc28458"/>
      <w:bookmarkEnd w:id="74"/>
      <w:bookmarkStart w:id="75" w:name="_Toc29102"/>
      <w:bookmarkEnd w:id="75"/>
    </w:p>
    <w:p>
      <w:pPr>
        <w:pStyle w:val="56"/>
        <w:rPr>
          <w:rFonts w:hint="eastAsia"/>
        </w:rPr>
      </w:pPr>
      <w:r>
        <w:rPr>
          <w:rFonts w:hint="eastAsia"/>
        </w:rPr>
        <w:t>电涌保护器surge protection device；SPD</w:t>
      </w:r>
    </w:p>
    <w:p>
      <w:pPr>
        <w:pStyle w:val="56"/>
        <w:rPr>
          <w:rFonts w:hint="eastAsia"/>
        </w:rPr>
      </w:pPr>
      <w:r>
        <w:rPr>
          <w:rFonts w:hint="eastAsia"/>
        </w:rPr>
        <w:t>用来限制瞬态过电压及泄放相应的瞬态过电流的装置,它至少含有一个非线性元件。</w:t>
      </w:r>
    </w:p>
    <w:p>
      <w:pPr>
        <w:pStyle w:val="56"/>
        <w:rPr>
          <w:rFonts w:hint="eastAsia"/>
        </w:rPr>
      </w:pPr>
      <w:r>
        <w:rPr>
          <w:rFonts w:hint="eastAsia"/>
        </w:rPr>
        <w:t>[来源：GB/T 36490-2018，定义3.4]</w:t>
      </w:r>
    </w:p>
    <w:p>
      <w:pPr>
        <w:pStyle w:val="105"/>
        <w:bidi w:val="0"/>
        <w:rPr>
          <w:rFonts w:hint="eastAsia"/>
        </w:rPr>
      </w:pPr>
      <w:bookmarkStart w:id="76" w:name="_Toc30900"/>
      <w:bookmarkEnd w:id="76"/>
      <w:bookmarkStart w:id="77" w:name="_Toc13728"/>
      <w:bookmarkEnd w:id="77"/>
      <w:bookmarkStart w:id="78" w:name="_Toc18790"/>
      <w:bookmarkEnd w:id="78"/>
    </w:p>
    <w:p>
      <w:pPr>
        <w:pStyle w:val="56"/>
        <w:rPr>
          <w:rFonts w:hint="eastAsia"/>
        </w:rPr>
      </w:pPr>
      <w:r>
        <w:rPr>
          <w:rFonts w:hint="eastAsia"/>
        </w:rPr>
        <w:t>接地装置 earth-termination system</w:t>
      </w:r>
    </w:p>
    <w:p>
      <w:pPr>
        <w:pStyle w:val="56"/>
        <w:rPr>
          <w:rFonts w:hint="eastAsia"/>
        </w:rPr>
      </w:pPr>
      <w:r>
        <w:rPr>
          <w:rFonts w:hint="eastAsia"/>
        </w:rPr>
        <w:t>外部LPS的组成部分,用于将雷电流传导并散入大地的导体。</w:t>
      </w:r>
    </w:p>
    <w:p>
      <w:pPr>
        <w:pStyle w:val="56"/>
        <w:rPr>
          <w:rFonts w:hint="eastAsia"/>
        </w:rPr>
      </w:pPr>
      <w:r>
        <w:rPr>
          <w:rFonts w:hint="eastAsia"/>
        </w:rPr>
        <w:t>[来源：GB/T 21431-2023，3.5]</w:t>
      </w:r>
    </w:p>
    <w:p>
      <w:pPr>
        <w:pStyle w:val="105"/>
        <w:bidi w:val="0"/>
        <w:rPr>
          <w:rFonts w:hint="eastAsia"/>
        </w:rPr>
      </w:pPr>
      <w:bookmarkStart w:id="79" w:name="_Toc7847"/>
      <w:bookmarkEnd w:id="79"/>
      <w:bookmarkStart w:id="80" w:name="_Toc6351"/>
      <w:bookmarkEnd w:id="80"/>
      <w:bookmarkStart w:id="81" w:name="_Toc17230"/>
      <w:bookmarkEnd w:id="81"/>
    </w:p>
    <w:p>
      <w:pPr>
        <w:pStyle w:val="56"/>
        <w:rPr>
          <w:rFonts w:hint="eastAsia"/>
        </w:rPr>
      </w:pPr>
      <w:r>
        <w:rPr>
          <w:rFonts w:hint="eastAsia"/>
        </w:rPr>
        <w:t xml:space="preserve">工频接地电阻 power frequency earthing resistance </w:t>
      </w:r>
    </w:p>
    <w:p>
      <w:pPr>
        <w:pStyle w:val="56"/>
        <w:rPr>
          <w:rFonts w:hint="eastAsia"/>
        </w:rPr>
      </w:pPr>
      <w:r>
        <w:rPr>
          <w:rFonts w:hint="eastAsia"/>
        </w:rPr>
        <w:t>根据通过接地极流入地中工频交流电流求得的电阻。</w:t>
      </w:r>
    </w:p>
    <w:p>
      <w:pPr>
        <w:pStyle w:val="56"/>
        <w:rPr>
          <w:rFonts w:hint="eastAsia"/>
        </w:rPr>
      </w:pPr>
      <w:r>
        <w:rPr>
          <w:rFonts w:hint="eastAsia"/>
        </w:rPr>
        <w:t>[来源：GB 50065-2011，定义2.0.14]</w:t>
      </w:r>
    </w:p>
    <w:p>
      <w:pPr>
        <w:pStyle w:val="105"/>
        <w:bidi w:val="0"/>
        <w:rPr>
          <w:rFonts w:hint="eastAsia"/>
        </w:rPr>
      </w:pPr>
      <w:bookmarkStart w:id="82" w:name="_Toc9664"/>
      <w:bookmarkEnd w:id="82"/>
      <w:bookmarkStart w:id="83" w:name="_Toc4847"/>
      <w:bookmarkEnd w:id="83"/>
      <w:bookmarkStart w:id="84" w:name="_Toc23087"/>
      <w:bookmarkEnd w:id="84"/>
    </w:p>
    <w:p>
      <w:pPr>
        <w:pStyle w:val="56"/>
        <w:rPr>
          <w:rFonts w:hint="eastAsia"/>
        </w:rPr>
      </w:pPr>
      <w:r>
        <w:rPr>
          <w:rFonts w:hint="eastAsia"/>
        </w:rPr>
        <w:t>雷电防护区 lightning protection zone；LPZ</w:t>
      </w:r>
    </w:p>
    <w:p>
      <w:pPr>
        <w:pStyle w:val="56"/>
        <w:rPr>
          <w:rFonts w:hint="eastAsia"/>
        </w:rPr>
      </w:pPr>
      <w:r>
        <w:rPr>
          <w:rFonts w:hint="eastAsia"/>
        </w:rPr>
        <w:t>规定雷电电磁环境的区域。</w:t>
      </w:r>
    </w:p>
    <w:p>
      <w:pPr>
        <w:pStyle w:val="56"/>
        <w:rPr>
          <w:rFonts w:hint="eastAsia"/>
        </w:rPr>
      </w:pPr>
      <w:r>
        <w:rPr>
          <w:rFonts w:hint="eastAsia"/>
        </w:rPr>
        <w:t>注:雷电防护区的区域边界不一定是物理边界(比如墙壁、地板和天花板)。</w:t>
      </w:r>
    </w:p>
    <w:p>
      <w:pPr>
        <w:pStyle w:val="56"/>
        <w:rPr>
          <w:rFonts w:hint="eastAsia"/>
        </w:rPr>
      </w:pPr>
      <w:r>
        <w:rPr>
          <w:rFonts w:hint="eastAsia"/>
        </w:rPr>
        <w:t>[来源：GB/T 33629-2024，定义3.31]</w:t>
      </w:r>
    </w:p>
    <w:p>
      <w:pPr>
        <w:pStyle w:val="105"/>
        <w:bidi w:val="0"/>
        <w:rPr>
          <w:rFonts w:hint="eastAsia"/>
        </w:rPr>
      </w:pPr>
      <w:bookmarkStart w:id="85" w:name="_Toc3300"/>
      <w:bookmarkEnd w:id="85"/>
      <w:bookmarkStart w:id="86" w:name="_Toc17443"/>
      <w:bookmarkEnd w:id="86"/>
      <w:bookmarkStart w:id="87" w:name="_Toc9456"/>
      <w:bookmarkEnd w:id="87"/>
    </w:p>
    <w:p>
      <w:pPr>
        <w:pStyle w:val="56"/>
        <w:rPr>
          <w:rFonts w:hint="eastAsia"/>
        </w:rPr>
      </w:pPr>
      <w:r>
        <w:rPr>
          <w:rFonts w:hint="eastAsia"/>
        </w:rPr>
        <w:t>海上风电场升压站  offshore wind farm substation</w:t>
      </w:r>
    </w:p>
    <w:p>
      <w:pPr>
        <w:pStyle w:val="56"/>
        <w:rPr>
          <w:rFonts w:hint="eastAsia"/>
        </w:rPr>
      </w:pPr>
      <w:r>
        <w:rPr>
          <w:rFonts w:hint="eastAsia"/>
        </w:rPr>
        <w:t>用于将海上风电场各风电机组发出的电能汇集、升压并送出的海上设施，包括基础和上部组块，</w:t>
      </w:r>
    </w:p>
    <w:p>
      <w:pPr>
        <w:pStyle w:val="56"/>
        <w:rPr>
          <w:rFonts w:hint="eastAsia"/>
        </w:rPr>
      </w:pPr>
      <w:r>
        <w:rPr>
          <w:rFonts w:hint="eastAsia"/>
          <w:lang w:eastAsia="zh-CN"/>
        </w:rPr>
        <w:t>一</w:t>
      </w:r>
      <w:r>
        <w:rPr>
          <w:rFonts w:hint="eastAsia"/>
        </w:rPr>
        <w:t>般可分为整体式和模块式。</w:t>
      </w:r>
    </w:p>
    <w:p>
      <w:pPr>
        <w:pStyle w:val="56"/>
        <w:rPr>
          <w:rFonts w:hint="eastAsia"/>
        </w:rPr>
      </w:pPr>
      <w:r>
        <w:rPr>
          <w:rFonts w:hint="eastAsia"/>
        </w:rPr>
        <w:t>[来源：NB/T10322-2019，3.1]</w:t>
      </w:r>
    </w:p>
    <w:p>
      <w:pPr>
        <w:pStyle w:val="104"/>
        <w:bidi w:val="0"/>
        <w:rPr>
          <w:rFonts w:hint="eastAsia"/>
        </w:rPr>
      </w:pPr>
      <w:bookmarkStart w:id="88" w:name="_Toc22849"/>
      <w:bookmarkStart w:id="89" w:name="_Toc371"/>
      <w:r>
        <w:rPr>
          <w:rFonts w:hint="eastAsia"/>
          <w:lang w:val="en-US" w:eastAsia="zh-CN"/>
        </w:rPr>
        <w:t>检测类别和范围</w:t>
      </w:r>
      <w:bookmarkEnd w:id="88"/>
      <w:bookmarkEnd w:id="89"/>
    </w:p>
    <w:p>
      <w:pPr>
        <w:pStyle w:val="105"/>
        <w:bidi w:val="0"/>
        <w:rPr>
          <w:rFonts w:hint="eastAsia"/>
        </w:rPr>
      </w:pPr>
      <w:bookmarkStart w:id="90" w:name="_Toc13514"/>
      <w:bookmarkStart w:id="91" w:name="_Toc11195"/>
      <w:r>
        <w:rPr>
          <w:rFonts w:hint="eastAsia"/>
        </w:rPr>
        <w:t>检测类别</w:t>
      </w:r>
      <w:bookmarkEnd w:id="90"/>
      <w:bookmarkEnd w:id="91"/>
    </w:p>
    <w:p>
      <w:pPr>
        <w:pStyle w:val="56"/>
        <w:rPr>
          <w:rFonts w:hint="default" w:eastAsia="宋体"/>
          <w:lang w:val="en-US" w:eastAsia="zh-CN"/>
        </w:rPr>
      </w:pPr>
      <w:r>
        <w:rPr>
          <w:rFonts w:hint="eastAsia"/>
        </w:rPr>
        <w:t>检测类别分为首次检测和定期检测</w:t>
      </w:r>
      <w:r>
        <w:rPr>
          <w:rFonts w:hint="eastAsia"/>
          <w:lang w:eastAsia="zh-CN"/>
        </w:rPr>
        <w:t>，</w:t>
      </w:r>
      <w:r>
        <w:rPr>
          <w:rFonts w:hint="eastAsia"/>
          <w:lang w:val="en-US" w:eastAsia="zh-CN"/>
        </w:rPr>
        <w:t>其中：</w:t>
      </w:r>
    </w:p>
    <w:p>
      <w:pPr>
        <w:pStyle w:val="132"/>
        <w:bidi w:val="0"/>
        <w:rPr>
          <w:rFonts w:hint="eastAsia"/>
        </w:rPr>
      </w:pPr>
      <w:r>
        <w:rPr>
          <w:rFonts w:hint="eastAsia"/>
        </w:rPr>
        <w:t>首次检测应对其结构、布置、形状、材料规格、尺寸、连接方法和电气性能进行分阶段检测。海上风电场投入使用后应进行首次检测，检测项目为全项目。</w:t>
      </w:r>
    </w:p>
    <w:p>
      <w:pPr>
        <w:pStyle w:val="132"/>
        <w:bidi w:val="0"/>
        <w:rPr>
          <w:rFonts w:hint="eastAsia"/>
        </w:rPr>
      </w:pPr>
      <w:r>
        <w:rPr>
          <w:rFonts w:hint="eastAsia"/>
        </w:rPr>
        <w:t>定期检测周期时间为1年。检测时间宜选在每年汛期前，检测项目为全项目。</w:t>
      </w:r>
    </w:p>
    <w:p>
      <w:pPr>
        <w:pStyle w:val="105"/>
        <w:bidi w:val="0"/>
        <w:rPr>
          <w:rFonts w:hint="eastAsia"/>
        </w:rPr>
      </w:pPr>
      <w:bookmarkStart w:id="92" w:name="_Toc5834"/>
      <w:bookmarkStart w:id="93" w:name="_Toc32469"/>
      <w:r>
        <w:rPr>
          <w:rFonts w:hint="eastAsia"/>
        </w:rPr>
        <w:t>检测范围</w:t>
      </w:r>
      <w:bookmarkEnd w:id="92"/>
      <w:bookmarkEnd w:id="93"/>
    </w:p>
    <w:p>
      <w:pPr>
        <w:pStyle w:val="56"/>
        <w:rPr>
          <w:rFonts w:hint="default" w:cs="Times New Roman"/>
          <w:sz w:val="21"/>
          <w:lang w:val="en-US" w:eastAsia="zh-CN" w:bidi="ar-SA"/>
        </w:rPr>
      </w:pPr>
      <w:r>
        <w:rPr>
          <w:rFonts w:hint="eastAsia" w:ascii="宋体" w:eastAsia="宋体" w:cs="Times New Roman"/>
          <w:sz w:val="21"/>
          <w:lang w:val="en-US" w:eastAsia="zh-CN" w:bidi="ar-SA"/>
        </w:rPr>
        <w:t>检测范围</w:t>
      </w:r>
      <w:r>
        <w:rPr>
          <w:rFonts w:hint="eastAsia" w:ascii="宋体" w:hAnsi="Times New Roman" w:eastAsia="宋体" w:cs="Times New Roman"/>
          <w:sz w:val="21"/>
          <w:lang w:val="en-US" w:eastAsia="zh-CN" w:bidi="ar-SA"/>
        </w:rPr>
        <w:t>主要包括风力发电机组、海上风电场升压站、陆上集控中心</w:t>
      </w:r>
      <w:r>
        <w:rPr>
          <w:rFonts w:hint="eastAsia" w:cs="Times New Roman"/>
          <w:sz w:val="21"/>
          <w:lang w:val="en-US" w:eastAsia="zh-CN" w:bidi="ar-SA"/>
        </w:rPr>
        <w:t>。</w:t>
      </w:r>
    </w:p>
    <w:p>
      <w:pPr>
        <w:pStyle w:val="104"/>
        <w:bidi w:val="0"/>
        <w:rPr>
          <w:rFonts w:hint="eastAsia"/>
        </w:rPr>
      </w:pPr>
      <w:bookmarkStart w:id="94" w:name="_Toc14477"/>
      <w:bookmarkStart w:id="95" w:name="_Toc21138"/>
      <w:r>
        <w:rPr>
          <w:rFonts w:hint="eastAsia"/>
        </w:rPr>
        <w:t>防雷分类和防雷区划分</w:t>
      </w:r>
      <w:bookmarkEnd w:id="94"/>
      <w:bookmarkEnd w:id="95"/>
    </w:p>
    <w:p>
      <w:pPr>
        <w:pStyle w:val="105"/>
        <w:bidi w:val="0"/>
        <w:rPr>
          <w:rFonts w:hint="eastAsia"/>
        </w:rPr>
      </w:pPr>
      <w:bookmarkStart w:id="96" w:name="_Toc5333"/>
      <w:bookmarkStart w:id="97" w:name="_Toc9500"/>
      <w:bookmarkStart w:id="98" w:name="_Toc31500"/>
      <w:r>
        <w:rPr>
          <w:rFonts w:hint="eastAsia"/>
          <w:lang w:val="en-US" w:eastAsia="zh-CN"/>
        </w:rPr>
        <w:t>防雷分类</w:t>
      </w:r>
      <w:bookmarkEnd w:id="96"/>
      <w:bookmarkEnd w:id="97"/>
      <w:bookmarkEnd w:id="98"/>
    </w:p>
    <w:p>
      <w:pPr>
        <w:pStyle w:val="56"/>
        <w:rPr>
          <w:rFonts w:hint="eastAsia"/>
        </w:rPr>
      </w:pPr>
      <w:r>
        <w:rPr>
          <w:rFonts w:hint="eastAsia"/>
        </w:rPr>
        <w:t>应按 GB 50057-2010</w:t>
      </w:r>
      <w:r>
        <w:rPr>
          <w:rFonts w:hint="eastAsia"/>
          <w:lang w:val="en-US" w:eastAsia="zh-CN"/>
        </w:rPr>
        <w:t xml:space="preserve"> </w:t>
      </w:r>
      <w:r>
        <w:rPr>
          <w:rFonts w:hint="eastAsia"/>
        </w:rPr>
        <w:t>中第 3 章、第 4.5.1条、第 4.5.2条及 GB/T 21431-2023 附录B的规定对建筑物进行防雷分类。</w:t>
      </w:r>
    </w:p>
    <w:p>
      <w:pPr>
        <w:pStyle w:val="105"/>
        <w:bidi w:val="0"/>
        <w:rPr>
          <w:rFonts w:hint="eastAsia"/>
        </w:rPr>
      </w:pPr>
      <w:bookmarkStart w:id="99" w:name="_Toc10211"/>
      <w:bookmarkStart w:id="100" w:name="_Toc13852"/>
      <w:bookmarkStart w:id="101" w:name="_Toc32736"/>
      <w:r>
        <w:rPr>
          <w:rFonts w:hint="eastAsia"/>
          <w:lang w:val="en-US" w:eastAsia="zh-CN"/>
        </w:rPr>
        <w:t>防雷区划分</w:t>
      </w:r>
      <w:bookmarkEnd w:id="99"/>
      <w:bookmarkEnd w:id="100"/>
      <w:bookmarkEnd w:id="101"/>
    </w:p>
    <w:p>
      <w:pPr>
        <w:pStyle w:val="56"/>
        <w:bidi w:val="0"/>
        <w:rPr>
          <w:rFonts w:hint="eastAsia"/>
        </w:rPr>
      </w:pPr>
      <w:r>
        <w:rPr>
          <w:rFonts w:hint="eastAsia"/>
        </w:rPr>
        <w:t>海上风电机组防雷区按照GB50057-2010中第6.2.1条规定划分为</w:t>
      </w:r>
      <w:r>
        <w:rPr>
          <w:rFonts w:hint="eastAsia"/>
          <w:lang w:eastAsia="zh-CN"/>
        </w:rPr>
        <w:t>式中：</w:t>
      </w:r>
      <w:r>
        <w:rPr>
          <w:rFonts w:hint="eastAsia"/>
        </w:rPr>
        <w:t>LPZ0A 、LPZ0B 、LPZ1 、LPZ2四区，四区分别包括以下部分:</w:t>
      </w:r>
    </w:p>
    <w:p>
      <w:pPr>
        <w:pStyle w:val="56"/>
        <w:rPr>
          <w:rFonts w:hint="eastAsia"/>
        </w:rPr>
      </w:pPr>
      <w:r>
        <w:rPr>
          <w:rFonts w:hint="eastAsia"/>
        </w:rPr>
        <w:t>a) LPZ0A 区包括叶片、避雷针系统、塔架等；</w:t>
      </w:r>
    </w:p>
    <w:p>
      <w:pPr>
        <w:pStyle w:val="56"/>
        <w:rPr>
          <w:rFonts w:hint="eastAsia"/>
        </w:rPr>
      </w:pPr>
      <w:r>
        <w:rPr>
          <w:rFonts w:hint="eastAsia"/>
        </w:rPr>
        <w:t>b) LPZ0B 区包括位于机舱弯头下方塔架上端部分、塔架基座部分等；</w:t>
      </w:r>
    </w:p>
    <w:p>
      <w:pPr>
        <w:pStyle w:val="56"/>
        <w:rPr>
          <w:rFonts w:hint="eastAsia"/>
        </w:rPr>
      </w:pPr>
      <w:r>
        <w:rPr>
          <w:rFonts w:hint="eastAsia"/>
        </w:rPr>
        <w:t>c) LPZ1 区包括机舱弯头内部、塔筒内部的金属壳体内部；</w:t>
      </w:r>
    </w:p>
    <w:p>
      <w:pPr>
        <w:pStyle w:val="56"/>
        <w:rPr>
          <w:rFonts w:hint="eastAsia"/>
          <w:lang w:eastAsia="zh-CN"/>
        </w:rPr>
      </w:pPr>
      <w:r>
        <w:rPr>
          <w:rFonts w:hint="eastAsia"/>
        </w:rPr>
        <w:t>d) LPZ2 区包括塔筒内和含有金属层（网）机舱内的各金属箱、柜和外壳内部及变桨控制箱内部</w:t>
      </w:r>
      <w:r>
        <w:rPr>
          <w:rFonts w:hint="eastAsia"/>
          <w:lang w:eastAsia="zh-CN"/>
        </w:rPr>
        <w:t>。</w:t>
      </w:r>
    </w:p>
    <w:p>
      <w:pPr>
        <w:pStyle w:val="56"/>
        <w:jc w:val="center"/>
      </w:pPr>
      <w:r>
        <w:drawing>
          <wp:inline distT="0" distB="0" distL="114300" distR="114300">
            <wp:extent cx="2409825" cy="3061970"/>
            <wp:effectExtent l="0" t="0" r="13335" b="1270"/>
            <wp:docPr id="7" name="图片 7" descr="C:\Users\43587\Desktop\地方标准\海上风力发电机防雷分区示意图.png海上风力发电机防雷分区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43587\Desktop\地方标准\海上风力发电机防雷分区示意图.png海上风力发电机防雷分区示意图"/>
                    <pic:cNvPicPr>
                      <a:picLocks noChangeAspect="1"/>
                    </pic:cNvPicPr>
                  </pic:nvPicPr>
                  <pic:blipFill>
                    <a:blip r:embed="rId15"/>
                    <a:stretch>
                      <a:fillRect/>
                    </a:stretch>
                  </pic:blipFill>
                  <pic:spPr>
                    <a:xfrm>
                      <a:off x="0" y="0"/>
                      <a:ext cx="2409825" cy="3061970"/>
                    </a:xfrm>
                    <a:prstGeom prst="rect">
                      <a:avLst/>
                    </a:prstGeom>
                    <a:noFill/>
                    <a:ln>
                      <a:noFill/>
                    </a:ln>
                  </pic:spPr>
                </pic:pic>
              </a:graphicData>
            </a:graphic>
          </wp:inline>
        </w:drawing>
      </w:r>
    </w:p>
    <w:p>
      <w:pPr>
        <w:pStyle w:val="114"/>
        <w:bidi w:val="0"/>
        <w:rPr>
          <w:rFonts w:hint="eastAsia"/>
          <w:lang w:val="en-US" w:eastAsia="zh-CN"/>
        </w:rPr>
      </w:pPr>
      <w:bookmarkStart w:id="102" w:name="OLE_LINK1"/>
      <w:r>
        <w:rPr>
          <w:rFonts w:hint="eastAsia" w:ascii="黑体" w:eastAsia="黑体"/>
          <w:szCs w:val="21"/>
        </w:rPr>
        <w:t>海上风力发电机防雷分区示意图</w:t>
      </w:r>
      <w:bookmarkEnd w:id="102"/>
    </w:p>
    <w:p>
      <w:pPr>
        <w:pStyle w:val="104"/>
        <w:bidi w:val="0"/>
        <w:rPr>
          <w:rFonts w:hint="eastAsia"/>
          <w:lang w:val="en-US" w:eastAsia="zh-CN"/>
        </w:rPr>
      </w:pPr>
      <w:bookmarkStart w:id="103" w:name="_Toc32264"/>
      <w:bookmarkStart w:id="104" w:name="_Toc20391"/>
      <w:r>
        <w:rPr>
          <w:rFonts w:hint="eastAsia"/>
          <w:lang w:val="en-US" w:eastAsia="zh-CN"/>
        </w:rPr>
        <w:t>检测项目</w:t>
      </w:r>
      <w:bookmarkEnd w:id="103"/>
      <w:bookmarkEnd w:id="104"/>
    </w:p>
    <w:p>
      <w:pPr>
        <w:pStyle w:val="105"/>
        <w:bidi w:val="0"/>
        <w:rPr>
          <w:rFonts w:hint="eastAsia"/>
          <w:lang w:val="en-US" w:eastAsia="zh-CN"/>
        </w:rPr>
      </w:pPr>
      <w:bookmarkStart w:id="105" w:name="_Toc18128"/>
      <w:bookmarkStart w:id="106" w:name="_Toc10819"/>
      <w:bookmarkStart w:id="107" w:name="_Toc18666"/>
      <w:r>
        <w:rPr>
          <w:rFonts w:hint="eastAsia"/>
          <w:lang w:val="en-US" w:eastAsia="zh-CN"/>
        </w:rPr>
        <w:t>风力发电机组</w:t>
      </w:r>
      <w:bookmarkEnd w:id="105"/>
      <w:bookmarkEnd w:id="106"/>
      <w:bookmarkEnd w:id="107"/>
    </w:p>
    <w:p>
      <w:pPr>
        <w:pStyle w:val="65"/>
        <w:bidi w:val="0"/>
        <w:rPr>
          <w:rFonts w:hint="eastAsia"/>
          <w:lang w:val="en-US" w:eastAsia="zh-CN"/>
        </w:rPr>
      </w:pPr>
      <w:bookmarkStart w:id="108" w:name="_Toc20133"/>
      <w:r>
        <w:rPr>
          <w:rFonts w:hint="eastAsia"/>
          <w:lang w:val="en-US" w:eastAsia="zh-CN"/>
        </w:rPr>
        <w:t>接闪器检测</w:t>
      </w:r>
      <w:bookmarkEnd w:id="108"/>
    </w:p>
    <w:p>
      <w:pPr>
        <w:pStyle w:val="94"/>
        <w:bidi w:val="0"/>
        <w:rPr>
          <w:rFonts w:hint="eastAsia"/>
          <w:lang w:val="en-US" w:eastAsia="zh-CN"/>
        </w:rPr>
      </w:pPr>
      <w:r>
        <w:rPr>
          <w:rFonts w:hint="eastAsia" w:ascii="宋体" w:hAnsi="Times New Roman" w:eastAsia="宋体" w:cs="Times New Roman"/>
          <w:szCs w:val="20"/>
          <w:lang w:val="en-US" w:eastAsia="zh-CN"/>
        </w:rPr>
        <w:t>检查叶片接闪器的数量是否符合设计文件中的技术要求。</w:t>
      </w:r>
    </w:p>
    <w:p>
      <w:pPr>
        <w:pStyle w:val="94"/>
        <w:bidi w:val="0"/>
        <w:rPr>
          <w:rFonts w:hint="eastAsia"/>
          <w:lang w:val="en-US" w:eastAsia="zh-CN"/>
        </w:rPr>
      </w:pPr>
      <w:r>
        <w:rPr>
          <w:rFonts w:hint="eastAsia" w:ascii="宋体" w:eastAsia="宋体"/>
          <w:szCs w:val="20"/>
        </w:rPr>
        <w:t>接闪器安装在叶片尖部</w:t>
      </w:r>
      <w:r>
        <w:rPr>
          <w:rFonts w:hint="eastAsia" w:eastAsia="宋体"/>
          <w:szCs w:val="20"/>
          <w:lang w:val="en-US" w:eastAsia="zh-CN"/>
        </w:rPr>
        <w:t>或成点状的</w:t>
      </w:r>
      <w:r>
        <w:rPr>
          <w:rFonts w:hint="eastAsia" w:ascii="宋体" w:eastAsia="宋体"/>
          <w:szCs w:val="20"/>
        </w:rPr>
        <w:t>，</w:t>
      </w:r>
      <w:r>
        <w:rPr>
          <w:rFonts w:hint="eastAsia" w:eastAsia="宋体"/>
          <w:szCs w:val="20"/>
          <w:lang w:val="en-US" w:eastAsia="zh-CN"/>
        </w:rPr>
        <w:t>应</w:t>
      </w:r>
      <w:r>
        <w:rPr>
          <w:rFonts w:hint="eastAsia" w:ascii="宋体" w:eastAsia="宋体"/>
          <w:szCs w:val="20"/>
        </w:rPr>
        <w:t>使用高倍数望远镜或无人机观察接闪器的状态</w:t>
      </w:r>
      <w:r>
        <w:rPr>
          <w:rFonts w:hint="eastAsia" w:ascii="宋体" w:eastAsia="宋体"/>
          <w:szCs w:val="20"/>
          <w:lang w:eastAsia="zh-CN"/>
        </w:rPr>
        <w:t>。</w:t>
      </w:r>
    </w:p>
    <w:p>
      <w:pPr>
        <w:pStyle w:val="94"/>
        <w:bidi w:val="0"/>
        <w:rPr>
          <w:rFonts w:hint="eastAsia"/>
          <w:lang w:val="en-US" w:eastAsia="zh-CN"/>
        </w:rPr>
      </w:pPr>
      <w:r>
        <w:rPr>
          <w:rFonts w:hint="eastAsia" w:ascii="宋体" w:eastAsia="宋体"/>
          <w:szCs w:val="20"/>
        </w:rPr>
        <w:t>叶片采用表面涂上一层导电材料，或叶尖部分的玻璃纤维聚酯层表面预置金属氧化物作为接闪器，或叶尖部分的玻璃纤维聚酯层中预置金属导体作为接闪器的，</w:t>
      </w:r>
      <w:r>
        <w:rPr>
          <w:rFonts w:hint="eastAsia" w:eastAsia="宋体"/>
          <w:szCs w:val="20"/>
          <w:lang w:val="en-US" w:eastAsia="zh-CN"/>
        </w:rPr>
        <w:t>应</w:t>
      </w:r>
      <w:r>
        <w:rPr>
          <w:rFonts w:hint="eastAsia" w:ascii="宋体" w:eastAsia="宋体"/>
          <w:szCs w:val="20"/>
        </w:rPr>
        <w:t>查阅叶片的年度维保记录</w:t>
      </w:r>
      <w:r>
        <w:rPr>
          <w:rFonts w:hint="eastAsia" w:ascii="宋体" w:eastAsia="宋体"/>
          <w:szCs w:val="20"/>
          <w:lang w:eastAsia="zh-CN"/>
        </w:rPr>
        <w:t>。</w:t>
      </w:r>
    </w:p>
    <w:p>
      <w:pPr>
        <w:pStyle w:val="94"/>
        <w:bidi w:val="0"/>
        <w:rPr>
          <w:rFonts w:hint="eastAsia"/>
          <w:lang w:val="en-US" w:eastAsia="zh-CN"/>
        </w:rPr>
      </w:pPr>
      <w:r>
        <w:rPr>
          <w:rFonts w:hint="eastAsia" w:eastAsia="宋体"/>
          <w:szCs w:val="20"/>
          <w:lang w:val="en-US" w:eastAsia="zh-CN"/>
        </w:rPr>
        <w:t>检查机舱接闪器（一般是以各种形式固定在机舱顶部的金属物体）的完整性，固定支架</w:t>
      </w:r>
      <w:r>
        <w:rPr>
          <w:rFonts w:hint="eastAsia" w:ascii="Times New Roman" w:hAnsi="Times New Roman" w:eastAsia="宋体" w:cs="Times New Roman"/>
          <w:szCs w:val="20"/>
          <w:lang w:val="en-US" w:eastAsia="zh-CN"/>
        </w:rPr>
        <w:t>应能承受49N</w:t>
      </w:r>
      <w:r>
        <w:rPr>
          <w:rFonts w:hint="default" w:ascii="Times New Roman" w:hAnsi="Times New Roman" w:eastAsia="宋体" w:cs="Times New Roman"/>
          <w:szCs w:val="20"/>
          <w:lang w:val="en-US" w:eastAsia="zh-CN"/>
        </w:rPr>
        <w:t>的拉力</w:t>
      </w:r>
      <w:r>
        <w:rPr>
          <w:rFonts w:hint="eastAsia" w:ascii="Times New Roman" w:eastAsia="宋体" w:cs="Times New Roman"/>
          <w:szCs w:val="20"/>
          <w:lang w:val="en-US" w:eastAsia="zh-CN"/>
        </w:rPr>
        <w:t>。</w:t>
      </w:r>
    </w:p>
    <w:p>
      <w:pPr>
        <w:pStyle w:val="94"/>
        <w:bidi w:val="0"/>
        <w:rPr>
          <w:rFonts w:hint="eastAsia"/>
          <w:lang w:val="en-US" w:eastAsia="zh-CN"/>
        </w:rPr>
      </w:pPr>
      <w:r>
        <w:rPr>
          <w:rFonts w:hint="eastAsia" w:ascii="宋体" w:hAnsi="Times New Roman" w:eastAsia="宋体" w:cs="Times New Roman"/>
          <w:szCs w:val="20"/>
          <w:highlight w:val="none"/>
        </w:rPr>
        <w:t>接闪器的</w:t>
      </w:r>
      <w:r>
        <w:rPr>
          <w:rFonts w:hint="eastAsia" w:ascii="宋体" w:hAnsi="Times New Roman" w:eastAsia="宋体" w:cs="Times New Roman"/>
          <w:szCs w:val="20"/>
          <w:highlight w:val="none"/>
          <w:lang w:val="en-US" w:eastAsia="zh-CN"/>
        </w:rPr>
        <w:t>设计</w:t>
      </w:r>
      <w:r>
        <w:rPr>
          <w:rFonts w:hint="eastAsia" w:ascii="宋体" w:eastAsia="宋体"/>
          <w:szCs w:val="20"/>
          <w:highlight w:val="none"/>
        </w:rPr>
        <w:t>规格尺寸</w:t>
      </w:r>
      <w:r>
        <w:rPr>
          <w:rFonts w:hint="eastAsia" w:ascii="宋体" w:eastAsia="宋体"/>
          <w:szCs w:val="20"/>
          <w:highlight w:val="none"/>
          <w:lang w:eastAsia="zh-CN"/>
        </w:rPr>
        <w:t>，</w:t>
      </w:r>
      <w:r>
        <w:rPr>
          <w:rFonts w:hint="eastAsia" w:ascii="宋体" w:eastAsia="宋体"/>
          <w:szCs w:val="20"/>
          <w:highlight w:val="none"/>
        </w:rPr>
        <w:t>应符合GB</w:t>
      </w:r>
      <w:r>
        <w:rPr>
          <w:rFonts w:hint="eastAsia" w:ascii="宋体" w:eastAsia="宋体"/>
          <w:szCs w:val="20"/>
          <w:highlight w:val="none"/>
          <w:lang w:val="en-US" w:eastAsia="zh-CN"/>
        </w:rPr>
        <w:t xml:space="preserve"> </w:t>
      </w:r>
      <w:r>
        <w:rPr>
          <w:rFonts w:hint="eastAsia" w:ascii="宋体" w:eastAsia="宋体"/>
          <w:szCs w:val="20"/>
          <w:highlight w:val="none"/>
        </w:rPr>
        <w:t>50057-2010第5章的要求</w:t>
      </w:r>
      <w:r>
        <w:rPr>
          <w:rFonts w:hint="eastAsia" w:ascii="宋体" w:eastAsia="宋体"/>
          <w:szCs w:val="20"/>
          <w:highlight w:val="none"/>
          <w:lang w:eastAsia="zh-CN"/>
        </w:rPr>
        <w:t>。</w:t>
      </w:r>
    </w:p>
    <w:p>
      <w:pPr>
        <w:pStyle w:val="94"/>
        <w:bidi w:val="0"/>
        <w:rPr>
          <w:rFonts w:hint="eastAsia"/>
          <w:lang w:val="en-US" w:eastAsia="zh-CN"/>
        </w:rPr>
      </w:pPr>
      <w:r>
        <w:rPr>
          <w:rFonts w:hint="eastAsia" w:ascii="宋体" w:eastAsia="宋体"/>
          <w:szCs w:val="20"/>
        </w:rPr>
        <w:t>检</w:t>
      </w:r>
      <w:r>
        <w:rPr>
          <w:rFonts w:hint="eastAsia" w:ascii="宋体" w:eastAsia="宋体"/>
          <w:szCs w:val="20"/>
          <w:lang w:val="en-US" w:eastAsia="zh-CN"/>
        </w:rPr>
        <w:t>测</w:t>
      </w:r>
      <w:r>
        <w:rPr>
          <w:rFonts w:hint="eastAsia" w:ascii="宋体" w:eastAsia="宋体"/>
          <w:szCs w:val="20"/>
        </w:rPr>
        <w:t>接闪器与</w:t>
      </w:r>
      <w:r>
        <w:rPr>
          <w:rFonts w:hint="eastAsia" w:ascii="宋体" w:eastAsia="宋体"/>
          <w:szCs w:val="20"/>
          <w:lang w:val="en-US" w:eastAsia="zh-CN"/>
        </w:rPr>
        <w:t>机舱</w:t>
      </w:r>
      <w:r>
        <w:rPr>
          <w:rFonts w:hint="eastAsia" w:ascii="宋体" w:eastAsia="宋体"/>
          <w:szCs w:val="20"/>
        </w:rPr>
        <w:t>顶部外露的其他金属物的电气连接、与引下线电气连接，天面设施等电位连接</w:t>
      </w:r>
      <w:r>
        <w:rPr>
          <w:rFonts w:hint="eastAsia" w:ascii="宋体" w:hAnsi="Times New Roman" w:eastAsia="宋体" w:cs="Times New Roman"/>
          <w:szCs w:val="20"/>
        </w:rPr>
        <w:t>的过渡电阻值应</w:t>
      </w:r>
      <w:r>
        <w:rPr>
          <w:rFonts w:hint="eastAsia" w:ascii="宋体" w:hAnsi="Times New Roman" w:eastAsia="宋体" w:cs="Times New Roman"/>
          <w:szCs w:val="20"/>
          <w:lang w:val="en-US" w:eastAsia="zh-CN"/>
        </w:rPr>
        <w:t>不</w:t>
      </w:r>
      <w:r>
        <w:rPr>
          <w:rFonts w:hint="eastAsia" w:ascii="宋体" w:hAnsi="Times New Roman" w:eastAsia="宋体" w:cs="Times New Roman"/>
          <w:szCs w:val="20"/>
        </w:rPr>
        <w:t>大于0.2Ω</w:t>
      </w:r>
      <w:r>
        <w:rPr>
          <w:rFonts w:hint="eastAsia" w:ascii="宋体" w:eastAsia="宋体" w:cs="Times New Roman"/>
          <w:szCs w:val="20"/>
          <w:lang w:eastAsia="zh-CN"/>
        </w:rPr>
        <w:t>。</w:t>
      </w:r>
    </w:p>
    <w:p>
      <w:pPr>
        <w:pStyle w:val="94"/>
        <w:bidi w:val="0"/>
        <w:rPr>
          <w:rFonts w:hint="eastAsia"/>
          <w:lang w:val="en-US" w:eastAsia="zh-CN"/>
        </w:rPr>
      </w:pPr>
      <w:r>
        <w:rPr>
          <w:rFonts w:hint="eastAsia" w:ascii="宋体" w:eastAsia="宋体"/>
          <w:szCs w:val="20"/>
        </w:rPr>
        <w:t>接闪器上应无附着的其他电气线路。</w:t>
      </w:r>
    </w:p>
    <w:p>
      <w:pPr>
        <w:pStyle w:val="65"/>
        <w:bidi w:val="0"/>
        <w:rPr>
          <w:rFonts w:hint="eastAsia"/>
          <w:lang w:val="en-US" w:eastAsia="zh-CN"/>
        </w:rPr>
      </w:pPr>
      <w:bookmarkStart w:id="109" w:name="_Toc9988"/>
      <w:r>
        <w:rPr>
          <w:rFonts w:hint="eastAsia"/>
          <w:lang w:val="en-US" w:eastAsia="zh-CN"/>
        </w:rPr>
        <w:t>引下线检测</w:t>
      </w:r>
      <w:bookmarkEnd w:id="109"/>
    </w:p>
    <w:p>
      <w:pPr>
        <w:pStyle w:val="94"/>
        <w:bidi w:val="0"/>
        <w:rPr>
          <w:rFonts w:hint="eastAsia"/>
          <w:lang w:val="en-US" w:eastAsia="zh-CN"/>
        </w:rPr>
      </w:pPr>
      <w:r>
        <w:rPr>
          <w:rFonts w:hint="eastAsia" w:ascii="宋体" w:eastAsia="宋体"/>
          <w:szCs w:val="20"/>
        </w:rPr>
        <w:t>首次检测应检查引下线隐蔽工程纪录</w:t>
      </w:r>
      <w:r>
        <w:rPr>
          <w:rFonts w:hint="eastAsia" w:ascii="宋体" w:eastAsia="宋体"/>
          <w:szCs w:val="20"/>
          <w:lang w:eastAsia="zh-CN"/>
        </w:rPr>
        <w:t>。</w:t>
      </w:r>
    </w:p>
    <w:p>
      <w:pPr>
        <w:pStyle w:val="94"/>
        <w:bidi w:val="0"/>
        <w:rPr>
          <w:rFonts w:hint="eastAsia"/>
          <w:lang w:val="en-US" w:eastAsia="zh-CN"/>
        </w:rPr>
      </w:pPr>
      <w:r>
        <w:rPr>
          <w:rFonts w:hint="eastAsia" w:ascii="宋体" w:eastAsia="宋体"/>
          <w:szCs w:val="20"/>
        </w:rPr>
        <w:t>应用游标卡尺测量引下线的规格尺寸。引下线的规格尺寸应符合GB</w:t>
      </w:r>
      <w:r>
        <w:rPr>
          <w:rFonts w:hint="eastAsia" w:ascii="宋体" w:eastAsia="宋体"/>
          <w:szCs w:val="20"/>
          <w:lang w:val="en-US" w:eastAsia="zh-CN"/>
        </w:rPr>
        <w:t xml:space="preserve"> </w:t>
      </w:r>
      <w:r>
        <w:rPr>
          <w:rFonts w:hint="eastAsia" w:ascii="宋体" w:eastAsia="宋体"/>
          <w:szCs w:val="20"/>
        </w:rPr>
        <w:t>50057-2010第5章的要求</w:t>
      </w:r>
      <w:r>
        <w:rPr>
          <w:rFonts w:hint="eastAsia" w:ascii="宋体" w:eastAsia="宋体"/>
          <w:szCs w:val="20"/>
          <w:lang w:eastAsia="zh-CN"/>
        </w:rPr>
        <w:t>。</w:t>
      </w:r>
    </w:p>
    <w:p>
      <w:pPr>
        <w:pStyle w:val="94"/>
        <w:bidi w:val="0"/>
        <w:rPr>
          <w:rFonts w:hint="eastAsia"/>
          <w:lang w:val="en-US" w:eastAsia="zh-CN"/>
        </w:rPr>
      </w:pPr>
      <w:r>
        <w:rPr>
          <w:rFonts w:hint="eastAsia" w:ascii="宋体" w:eastAsia="宋体"/>
          <w:szCs w:val="20"/>
        </w:rPr>
        <w:t>检查引下线的敷设、焊缝饱满程度、焊接部分防腐、螺栓固定防松零件、引下线截面锈蚀、固定支架垂直拉力及间距等是否符合GB/T 21431-2023中5.5.2的要求</w:t>
      </w:r>
      <w:r>
        <w:rPr>
          <w:rFonts w:hint="eastAsia" w:ascii="宋体" w:eastAsia="宋体"/>
          <w:szCs w:val="20"/>
          <w:lang w:eastAsia="zh-CN"/>
        </w:rPr>
        <w:t>。</w:t>
      </w:r>
    </w:p>
    <w:p>
      <w:pPr>
        <w:pStyle w:val="94"/>
        <w:bidi w:val="0"/>
        <w:rPr>
          <w:rFonts w:hint="eastAsia" w:ascii="宋体" w:eastAsia="宋体"/>
          <w:szCs w:val="20"/>
          <w:lang w:val="en-US" w:eastAsia="zh-CN"/>
        </w:rPr>
      </w:pPr>
      <w:r>
        <w:rPr>
          <w:rFonts w:hint="eastAsia" w:ascii="宋体" w:eastAsia="宋体"/>
          <w:szCs w:val="20"/>
          <w:lang w:val="en-US" w:eastAsia="zh-CN"/>
        </w:rPr>
        <w:t>风力发电机组应利用塔筒,塔杆作为防雷引下线,或设置专设的引下线。应检测叶片引下线、机舱和塔架（塔筒）之间、塔筒内部专用引下线连接状况并测试过渡电阻值，过渡电阻应不大于0.2Ω。</w:t>
      </w:r>
    </w:p>
    <w:p>
      <w:pPr>
        <w:pStyle w:val="94"/>
        <w:bidi w:val="0"/>
        <w:rPr>
          <w:rFonts w:hint="eastAsia" w:ascii="宋体" w:eastAsia="宋体"/>
          <w:szCs w:val="20"/>
          <w:lang w:val="en-US" w:eastAsia="zh-CN"/>
        </w:rPr>
      </w:pPr>
      <w:r>
        <w:rPr>
          <w:rFonts w:hint="eastAsia" w:ascii="宋体" w:eastAsia="宋体"/>
          <w:szCs w:val="20"/>
          <w:lang w:val="en-US" w:eastAsia="zh-CN"/>
        </w:rPr>
        <w:t>引下线上不应附着电气、通信、信号或其他线路。测量专设引下线与附近其他电气线路的距离，一般不应小于1m，交叉一般不应小于0.3m，专设引下线与可燃材料的墙壁或墙体保温层间距应大于0.1m。</w:t>
      </w:r>
    </w:p>
    <w:p>
      <w:pPr>
        <w:pStyle w:val="94"/>
        <w:bidi w:val="0"/>
        <w:rPr>
          <w:rFonts w:hint="eastAsia" w:ascii="宋体" w:eastAsia="宋体"/>
          <w:szCs w:val="20"/>
          <w:lang w:val="en-US" w:eastAsia="zh-CN"/>
        </w:rPr>
      </w:pPr>
      <w:r>
        <w:rPr>
          <w:rFonts w:hint="eastAsia" w:ascii="宋体" w:eastAsia="宋体"/>
          <w:szCs w:val="20"/>
        </w:rPr>
        <w:t>自然引下线和专设引下线上端应与接闪器可靠连接,下端应与接地装置可靠连接。 连接处两端的过渡电阻值应</w:t>
      </w:r>
      <w:r>
        <w:rPr>
          <w:rFonts w:hint="eastAsia" w:ascii="宋体" w:eastAsia="宋体"/>
          <w:szCs w:val="20"/>
          <w:lang w:val="en-US" w:eastAsia="zh-CN"/>
        </w:rPr>
        <w:t>不</w:t>
      </w:r>
      <w:r>
        <w:rPr>
          <w:rFonts w:hint="eastAsia" w:ascii="宋体" w:eastAsia="宋体"/>
          <w:szCs w:val="20"/>
        </w:rPr>
        <w:t>大于0.2Ω。</w:t>
      </w:r>
    </w:p>
    <w:p>
      <w:pPr>
        <w:pStyle w:val="94"/>
        <w:bidi w:val="0"/>
        <w:rPr>
          <w:rFonts w:hint="eastAsia" w:ascii="宋体" w:eastAsia="宋体"/>
          <w:szCs w:val="20"/>
          <w:lang w:val="en-US" w:eastAsia="zh-CN"/>
        </w:rPr>
      </w:pPr>
      <w:r>
        <w:rPr>
          <w:rFonts w:hint="eastAsia" w:ascii="宋体" w:eastAsia="宋体"/>
          <w:szCs w:val="20"/>
          <w:lang w:val="en-US" w:eastAsia="zh-CN"/>
        </w:rPr>
        <w:t>风轮桨叶引下线与轮毂的直流过渡电阻应不大于0.2Ω。</w:t>
      </w:r>
    </w:p>
    <w:p>
      <w:pPr>
        <w:pStyle w:val="65"/>
        <w:bidi w:val="0"/>
        <w:rPr>
          <w:rFonts w:hint="eastAsia"/>
        </w:rPr>
      </w:pPr>
      <w:bookmarkStart w:id="110" w:name="_Toc19232"/>
      <w:r>
        <w:rPr>
          <w:rFonts w:hint="eastAsia"/>
          <w:lang w:val="en-US" w:eastAsia="zh-CN"/>
        </w:rPr>
        <w:t>接地装置检测</w:t>
      </w:r>
      <w:bookmarkEnd w:id="110"/>
    </w:p>
    <w:p>
      <w:pPr>
        <w:pStyle w:val="94"/>
        <w:bidi w:val="0"/>
        <w:rPr>
          <w:rFonts w:hint="eastAsia" w:ascii="宋体" w:eastAsia="宋体"/>
          <w:szCs w:val="20"/>
        </w:rPr>
      </w:pPr>
      <w:r>
        <w:rPr>
          <w:rFonts w:hint="eastAsia" w:ascii="宋体" w:eastAsia="宋体"/>
          <w:szCs w:val="20"/>
        </w:rPr>
        <w:t>测试前应查看接地装置的验收图纸,避免与接地网的施工方向重叠;一般应对机组进行至少两个测向的接地电阻测试,接地电阻值取各测向的平均值</w:t>
      </w:r>
      <w:r>
        <w:rPr>
          <w:rFonts w:hint="eastAsia" w:ascii="宋体" w:eastAsia="宋体"/>
          <w:szCs w:val="20"/>
          <w:lang w:eastAsia="zh-CN"/>
        </w:rPr>
        <w:t>。</w:t>
      </w:r>
    </w:p>
    <w:p>
      <w:pPr>
        <w:pStyle w:val="94"/>
        <w:bidi w:val="0"/>
        <w:rPr>
          <w:rFonts w:hint="eastAsia" w:ascii="宋体" w:eastAsia="宋体"/>
          <w:szCs w:val="20"/>
        </w:rPr>
      </w:pPr>
      <w:r>
        <w:rPr>
          <w:rFonts w:hint="eastAsia" w:ascii="宋体" w:eastAsia="宋体"/>
          <w:szCs w:val="20"/>
        </w:rPr>
        <w:t xml:space="preserve">当对机组进行测量时,应断开: </w:t>
      </w:r>
    </w:p>
    <w:p>
      <w:pPr>
        <w:pStyle w:val="132"/>
        <w:bidi w:val="0"/>
        <w:rPr>
          <w:rFonts w:hint="eastAsia"/>
        </w:rPr>
      </w:pPr>
      <w:r>
        <w:rPr>
          <w:rFonts w:ascii="宋体" w:eastAsia="宋体"/>
          <w:szCs w:val="20"/>
          <w:highlight w:val="none"/>
        </w:rPr>
        <w:t>箱变高压侧电源</w:t>
      </w:r>
      <w:r>
        <w:rPr>
          <w:rFonts w:hint="eastAsia"/>
          <w:szCs w:val="20"/>
          <w:highlight w:val="none"/>
          <w:lang w:eastAsia="zh-CN"/>
        </w:rPr>
        <w:t>；</w:t>
      </w:r>
    </w:p>
    <w:p>
      <w:pPr>
        <w:pStyle w:val="132"/>
        <w:bidi w:val="0"/>
        <w:rPr>
          <w:rFonts w:hint="eastAsia"/>
        </w:rPr>
      </w:pPr>
      <w:r>
        <w:rPr>
          <w:rFonts w:ascii="宋体" w:eastAsia="宋体"/>
          <w:szCs w:val="20"/>
          <w:highlight w:val="none"/>
        </w:rPr>
        <w:t>机组接地体与塔筒底部末端的连接</w:t>
      </w:r>
      <w:r>
        <w:rPr>
          <w:rFonts w:hint="eastAsia"/>
          <w:szCs w:val="20"/>
          <w:highlight w:val="none"/>
          <w:lang w:eastAsia="zh-CN"/>
        </w:rPr>
        <w:t>；</w:t>
      </w:r>
    </w:p>
    <w:p>
      <w:pPr>
        <w:pStyle w:val="132"/>
        <w:bidi w:val="0"/>
        <w:rPr>
          <w:rFonts w:hint="eastAsia"/>
        </w:rPr>
      </w:pPr>
      <w:r>
        <w:rPr>
          <w:rFonts w:ascii="宋体" w:eastAsia="宋体"/>
          <w:szCs w:val="20"/>
          <w:highlight w:val="none"/>
        </w:rPr>
        <w:t>有光纤金属加强筋存在时,应断开光纤金属加强筋</w:t>
      </w:r>
      <w:r>
        <w:rPr>
          <w:rFonts w:hint="eastAsia"/>
          <w:szCs w:val="20"/>
          <w:highlight w:val="none"/>
          <w:lang w:eastAsia="zh-CN"/>
        </w:rPr>
        <w:t>；</w:t>
      </w:r>
    </w:p>
    <w:p>
      <w:pPr>
        <w:pStyle w:val="132"/>
        <w:bidi w:val="0"/>
        <w:rPr>
          <w:rFonts w:hint="eastAsia"/>
        </w:rPr>
      </w:pPr>
      <w:r>
        <w:rPr>
          <w:rFonts w:ascii="宋体" w:eastAsia="宋体"/>
          <w:szCs w:val="20"/>
          <w:highlight w:val="none"/>
        </w:rPr>
        <w:t>与之连接的邻近其他机组的地网</w:t>
      </w:r>
      <w:r>
        <w:rPr>
          <w:rFonts w:hint="eastAsia"/>
          <w:szCs w:val="20"/>
          <w:highlight w:val="none"/>
          <w:lang w:eastAsia="zh-CN"/>
        </w:rPr>
        <w:t>。</w:t>
      </w:r>
    </w:p>
    <w:p>
      <w:pPr>
        <w:pStyle w:val="94"/>
        <w:bidi w:val="0"/>
        <w:rPr>
          <w:rFonts w:hint="eastAsia"/>
        </w:rPr>
      </w:pPr>
      <w:r>
        <w:rPr>
          <w:rFonts w:hint="eastAsia" w:ascii="宋体" w:eastAsia="宋体"/>
          <w:szCs w:val="20"/>
        </w:rPr>
        <w:t>塔筒底部与接地装置的连接导体数量应不少于3处，接地装置的材料规格、安装要求及环境应符合GB 50057-2010中5.4的要求。</w:t>
      </w:r>
    </w:p>
    <w:p>
      <w:pPr>
        <w:pStyle w:val="94"/>
        <w:bidi w:val="0"/>
        <w:rPr>
          <w:rFonts w:hint="eastAsia"/>
        </w:rPr>
      </w:pPr>
      <w:r>
        <w:rPr>
          <w:rFonts w:hint="eastAsia" w:ascii="宋体" w:eastAsia="宋体"/>
          <w:szCs w:val="20"/>
        </w:rPr>
        <w:t>接地装置与其他风力发电机组地网的直流过渡电阻应</w:t>
      </w:r>
      <w:r>
        <w:rPr>
          <w:rFonts w:hint="eastAsia" w:ascii="宋体" w:eastAsia="宋体"/>
          <w:szCs w:val="20"/>
          <w:lang w:val="en-US" w:eastAsia="zh-CN"/>
        </w:rPr>
        <w:t>不</w:t>
      </w:r>
      <w:r>
        <w:rPr>
          <w:rFonts w:hint="eastAsia" w:ascii="宋体" w:eastAsia="宋体"/>
          <w:szCs w:val="20"/>
        </w:rPr>
        <w:t>大于0.2Ω</w:t>
      </w:r>
      <w:r>
        <w:rPr>
          <w:rFonts w:hint="eastAsia" w:ascii="宋体" w:eastAsia="宋体"/>
          <w:szCs w:val="20"/>
          <w:lang w:eastAsia="zh-CN"/>
        </w:rPr>
        <w:t>。</w:t>
      </w:r>
    </w:p>
    <w:p>
      <w:pPr>
        <w:pStyle w:val="94"/>
        <w:bidi w:val="0"/>
        <w:rPr>
          <w:rFonts w:hint="eastAsia"/>
        </w:rPr>
      </w:pPr>
      <w:r>
        <w:rPr>
          <w:rFonts w:hint="eastAsia" w:ascii="宋体" w:hAnsi="Times New Roman" w:eastAsia="宋体" w:cs="Times New Roman"/>
          <w:kern w:val="0"/>
          <w:sz w:val="21"/>
          <w:szCs w:val="20"/>
          <w:lang w:val="en-US" w:eastAsia="zh-CN" w:bidi="ar-SA"/>
        </w:rPr>
        <w:t>接地电阻测试仪测量，单机工频接地电阻值应不大于4</w:t>
      </w:r>
      <w:r>
        <w:rPr>
          <w:rFonts w:hint="eastAsia" w:ascii="宋体" w:eastAsia="宋体"/>
          <w:szCs w:val="20"/>
        </w:rPr>
        <w:t>Ω</w:t>
      </w:r>
      <w:r>
        <w:rPr>
          <w:rFonts w:hint="default" w:ascii="宋体" w:hAnsi="Times New Roman" w:eastAsia="宋体" w:cs="Times New Roman"/>
          <w:kern w:val="0"/>
          <w:sz w:val="21"/>
          <w:szCs w:val="20"/>
          <w:lang w:val="en-US" w:eastAsia="zh-CN" w:bidi="ar-SA"/>
        </w:rPr>
        <w:t>。接地电阻测试仪应具备异频测量功能，测试电流不应小于 3A，测试方法见附录</w:t>
      </w:r>
      <w:r>
        <w:rPr>
          <w:rFonts w:hint="eastAsia" w:ascii="宋体" w:eastAsia="宋体" w:cs="Times New Roman"/>
          <w:kern w:val="0"/>
          <w:sz w:val="21"/>
          <w:szCs w:val="20"/>
          <w:lang w:val="en-US" w:eastAsia="zh-CN" w:bidi="ar-SA"/>
        </w:rPr>
        <w:t>A。</w:t>
      </w:r>
    </w:p>
    <w:p>
      <w:pPr>
        <w:pStyle w:val="65"/>
        <w:bidi w:val="0"/>
        <w:rPr>
          <w:rFonts w:hint="eastAsia"/>
          <w:lang w:val="en-US" w:eastAsia="zh-CN"/>
        </w:rPr>
      </w:pPr>
      <w:bookmarkStart w:id="111" w:name="_Toc22860"/>
      <w:r>
        <w:rPr>
          <w:rFonts w:hint="eastAsia"/>
          <w:lang w:val="en-US" w:eastAsia="zh-CN"/>
        </w:rPr>
        <w:t>等电位连接检测</w:t>
      </w:r>
      <w:bookmarkEnd w:id="111"/>
    </w:p>
    <w:p>
      <w:pPr>
        <w:pStyle w:val="94"/>
        <w:bidi w:val="0"/>
        <w:rPr>
          <w:rFonts w:hint="eastAsia" w:ascii="宋体" w:hAnsi="Times New Roman" w:eastAsia="宋体" w:cs="Times New Roman"/>
          <w:sz w:val="21"/>
          <w:szCs w:val="20"/>
          <w:lang w:val="en-US" w:eastAsia="zh-CN" w:bidi="ar-SA"/>
        </w:rPr>
      </w:pPr>
      <w:r>
        <w:rPr>
          <w:rFonts w:hint="eastAsia" w:ascii="宋体" w:hAnsi="Times New Roman" w:eastAsia="宋体" w:cs="Times New Roman"/>
          <w:sz w:val="21"/>
          <w:szCs w:val="20"/>
          <w:lang w:val="en-US" w:eastAsia="zh-CN" w:bidi="ar-SA"/>
        </w:rPr>
        <w:t>通过将LPS与以下各项彼此连接实现等电位：</w:t>
      </w:r>
    </w:p>
    <w:p>
      <w:pPr>
        <w:pStyle w:val="132"/>
        <w:bidi w:val="0"/>
        <w:rPr>
          <w:rFonts w:hint="eastAsia"/>
          <w:lang w:val="en-US" w:eastAsia="zh-CN"/>
        </w:rPr>
      </w:pPr>
      <w:r>
        <w:rPr>
          <w:rFonts w:hint="eastAsia" w:ascii="宋体" w:eastAsia="宋体"/>
          <w:szCs w:val="20"/>
        </w:rPr>
        <w:t>结构金属部件</w:t>
      </w:r>
      <w:r>
        <w:rPr>
          <w:rFonts w:hint="eastAsia"/>
          <w:szCs w:val="20"/>
          <w:lang w:eastAsia="zh-CN"/>
        </w:rPr>
        <w:t>；</w:t>
      </w:r>
    </w:p>
    <w:p>
      <w:pPr>
        <w:pStyle w:val="132"/>
        <w:bidi w:val="0"/>
        <w:rPr>
          <w:rFonts w:hint="eastAsia"/>
          <w:lang w:val="en-US" w:eastAsia="zh-CN"/>
        </w:rPr>
      </w:pPr>
      <w:r>
        <w:rPr>
          <w:rFonts w:hint="eastAsia" w:ascii="宋体" w:eastAsia="宋体"/>
          <w:szCs w:val="20"/>
        </w:rPr>
        <w:t>金属设备；</w:t>
      </w:r>
    </w:p>
    <w:p>
      <w:pPr>
        <w:pStyle w:val="132"/>
        <w:bidi w:val="0"/>
        <w:rPr>
          <w:rFonts w:hint="eastAsia"/>
          <w:lang w:val="en-US" w:eastAsia="zh-CN"/>
        </w:rPr>
      </w:pPr>
      <w:r>
        <w:rPr>
          <w:rFonts w:hint="eastAsia" w:ascii="宋体" w:eastAsia="宋体"/>
          <w:szCs w:val="20"/>
        </w:rPr>
        <w:t>内部系统</w:t>
      </w:r>
      <w:r>
        <w:rPr>
          <w:rFonts w:hint="eastAsia"/>
          <w:szCs w:val="20"/>
          <w:lang w:eastAsia="zh-CN"/>
        </w:rPr>
        <w:t>；</w:t>
      </w:r>
    </w:p>
    <w:p>
      <w:pPr>
        <w:pStyle w:val="132"/>
        <w:bidi w:val="0"/>
        <w:rPr>
          <w:rFonts w:hint="eastAsia"/>
          <w:lang w:val="en-US" w:eastAsia="zh-CN"/>
        </w:rPr>
      </w:pPr>
      <w:r>
        <w:rPr>
          <w:rFonts w:hint="eastAsia" w:ascii="宋体" w:eastAsia="宋体"/>
          <w:szCs w:val="20"/>
        </w:rPr>
        <w:t>外部导电部件和连接到风力发电机组的引入线</w:t>
      </w:r>
      <w:r>
        <w:rPr>
          <w:rFonts w:hint="eastAsia"/>
          <w:szCs w:val="20"/>
          <w:lang w:eastAsia="zh-CN"/>
        </w:rPr>
        <w:t>。</w:t>
      </w:r>
    </w:p>
    <w:p>
      <w:pPr>
        <w:pStyle w:val="94"/>
        <w:bidi w:val="0"/>
        <w:rPr>
          <w:rFonts w:hint="eastAsia"/>
          <w:lang w:val="en-US" w:eastAsia="zh-CN"/>
        </w:rPr>
      </w:pPr>
      <w:r>
        <w:rPr>
          <w:rFonts w:hint="eastAsia" w:ascii="宋体" w:hAnsi="Times New Roman" w:eastAsia="宋体" w:cs="Times New Roman"/>
          <w:szCs w:val="20"/>
        </w:rPr>
        <w:t>检查防雷等电</w:t>
      </w:r>
      <w:r>
        <w:rPr>
          <w:rFonts w:hint="eastAsia" w:ascii="宋体" w:hAnsi="Times New Roman" w:eastAsia="宋体" w:cs="Times New Roman"/>
          <w:szCs w:val="20"/>
          <w:highlight w:val="none"/>
        </w:rPr>
        <w:t>位连接的位置、结构、材料与规格、连接工艺、跨接性能、接地基准点(ERP)接地性能</w:t>
      </w:r>
      <w:r>
        <w:rPr>
          <w:rFonts w:hint="eastAsia" w:ascii="宋体" w:hAnsi="Times New Roman" w:eastAsia="宋体" w:cs="Times New Roman"/>
          <w:szCs w:val="20"/>
        </w:rPr>
        <w:t>是否符合 GB</w:t>
      </w:r>
      <w:r>
        <w:rPr>
          <w:rFonts w:hint="eastAsia" w:ascii="宋体" w:hAnsi="Times New Roman" w:eastAsia="宋体" w:cs="Times New Roman"/>
          <w:szCs w:val="20"/>
          <w:lang w:val="en-US" w:eastAsia="zh-CN"/>
        </w:rPr>
        <w:t>/T</w:t>
      </w:r>
      <w:r>
        <w:rPr>
          <w:rFonts w:hint="eastAsia" w:ascii="宋体" w:hAnsi="Times New Roman" w:eastAsia="宋体" w:cs="Times New Roman"/>
          <w:szCs w:val="20"/>
        </w:rPr>
        <w:t xml:space="preserve"> 21431-2023中5.5.5的要求</w:t>
      </w:r>
      <w:r>
        <w:rPr>
          <w:rFonts w:hint="eastAsia" w:ascii="宋体" w:eastAsia="宋体" w:cs="Times New Roman"/>
          <w:szCs w:val="20"/>
          <w:lang w:eastAsia="zh-CN"/>
        </w:rPr>
        <w:t>。</w:t>
      </w:r>
    </w:p>
    <w:p>
      <w:pPr>
        <w:pStyle w:val="94"/>
        <w:bidi w:val="0"/>
        <w:rPr>
          <w:rFonts w:hint="eastAsia"/>
          <w:lang w:val="en-US" w:eastAsia="zh-CN"/>
        </w:rPr>
      </w:pPr>
      <w:r>
        <w:rPr>
          <w:rFonts w:hint="eastAsia" w:ascii="宋体" w:eastAsia="宋体"/>
          <w:szCs w:val="20"/>
        </w:rPr>
        <w:t>不同连接排之间的连接导线、</w:t>
      </w:r>
      <w:r>
        <w:rPr>
          <w:rFonts w:ascii="宋体" w:eastAsia="宋体"/>
          <w:szCs w:val="20"/>
        </w:rPr>
        <w:t>连接排和接地装置之间连接导线的最小截面积</w:t>
      </w:r>
      <w:r>
        <w:rPr>
          <w:rFonts w:hint="eastAsia" w:ascii="宋体" w:eastAsia="宋体"/>
          <w:szCs w:val="20"/>
        </w:rPr>
        <w:t>；</w:t>
      </w:r>
      <w:r>
        <w:rPr>
          <w:rFonts w:ascii="宋体" w:eastAsia="宋体"/>
          <w:szCs w:val="20"/>
        </w:rPr>
        <w:t>内部金属装置和连接排之间连接导线的最小截面积应符合</w:t>
      </w:r>
      <w:r>
        <w:rPr>
          <w:rFonts w:hint="eastAsia" w:ascii="宋体" w:eastAsia="宋体"/>
          <w:szCs w:val="20"/>
        </w:rPr>
        <w:t>GB/T 36490-2018 6.4.1</w:t>
      </w:r>
      <w:r>
        <w:rPr>
          <w:rFonts w:ascii="宋体" w:eastAsia="宋体"/>
          <w:szCs w:val="20"/>
        </w:rPr>
        <w:t>的要求</w:t>
      </w:r>
      <w:r>
        <w:rPr>
          <w:rFonts w:hint="eastAsia" w:ascii="宋体" w:eastAsia="宋体"/>
          <w:szCs w:val="20"/>
          <w:lang w:eastAsia="zh-CN"/>
        </w:rPr>
        <w:t>。</w:t>
      </w:r>
    </w:p>
    <w:p>
      <w:pPr>
        <w:pStyle w:val="94"/>
        <w:bidi w:val="0"/>
        <w:rPr>
          <w:rFonts w:hint="eastAsia"/>
          <w:lang w:val="en-US" w:eastAsia="zh-CN"/>
        </w:rPr>
      </w:pPr>
      <w:r>
        <w:rPr>
          <w:rFonts w:hint="eastAsia" w:ascii="宋体" w:eastAsia="宋体"/>
          <w:szCs w:val="20"/>
        </w:rPr>
        <w:t>检测设备、构架、管道、均压环、钢窗、钢骨架(爬梯)等金属物与共用接地装置连接处的过渡电阻</w:t>
      </w:r>
      <w:r>
        <w:rPr>
          <w:rFonts w:hint="eastAsia" w:ascii="宋体" w:eastAsia="宋体"/>
          <w:szCs w:val="20"/>
          <w:lang w:eastAsia="zh-CN"/>
        </w:rPr>
        <w:t>。</w:t>
      </w:r>
    </w:p>
    <w:p>
      <w:pPr>
        <w:pStyle w:val="94"/>
        <w:bidi w:val="0"/>
        <w:rPr>
          <w:rFonts w:hint="eastAsia"/>
          <w:lang w:val="en-US" w:eastAsia="zh-CN"/>
        </w:rPr>
      </w:pPr>
      <w:r>
        <w:rPr>
          <w:rFonts w:hint="eastAsia" w:eastAsia="宋体"/>
          <w:szCs w:val="20"/>
          <w:highlight w:val="none"/>
          <w:lang w:val="en-US" w:eastAsia="zh-CN"/>
        </w:rPr>
        <w:t>检查</w:t>
      </w:r>
      <w:r>
        <w:rPr>
          <w:rFonts w:hint="eastAsia" w:ascii="宋体" w:eastAsia="宋体"/>
          <w:szCs w:val="20"/>
          <w:highlight w:val="none"/>
        </w:rPr>
        <w:t>机舱内的部件与机舱底板</w:t>
      </w:r>
      <w:r>
        <w:rPr>
          <w:rFonts w:hint="eastAsia" w:eastAsia="宋体"/>
          <w:szCs w:val="20"/>
          <w:highlight w:val="none"/>
          <w:lang w:eastAsia="zh-CN"/>
        </w:rPr>
        <w:t>、</w:t>
      </w:r>
      <w:r>
        <w:rPr>
          <w:rFonts w:hint="eastAsia" w:ascii="宋体" w:eastAsia="宋体"/>
          <w:szCs w:val="20"/>
          <w:highlight w:val="none"/>
        </w:rPr>
        <w:t>机舱和塔架(塔筒)之间</w:t>
      </w:r>
      <w:r>
        <w:rPr>
          <w:rFonts w:hint="eastAsia" w:eastAsia="宋体"/>
          <w:szCs w:val="20"/>
          <w:highlight w:val="none"/>
          <w:lang w:eastAsia="zh-CN"/>
        </w:rPr>
        <w:t>、</w:t>
      </w:r>
      <w:r>
        <w:rPr>
          <w:rFonts w:hint="eastAsia" w:eastAsia="宋体"/>
          <w:szCs w:val="20"/>
          <w:highlight w:val="none"/>
          <w:lang w:val="en-US" w:eastAsia="zh-CN"/>
        </w:rPr>
        <w:t>轴承滑动部件</w:t>
      </w:r>
      <w:r>
        <w:rPr>
          <w:rFonts w:hint="eastAsia" w:ascii="宋体" w:eastAsia="宋体"/>
          <w:szCs w:val="20"/>
          <w:highlight w:val="none"/>
        </w:rPr>
        <w:t>之间的连接状况</w:t>
      </w:r>
      <w:r>
        <w:rPr>
          <w:rFonts w:hint="eastAsia" w:eastAsia="宋体"/>
          <w:szCs w:val="20"/>
          <w:highlight w:val="none"/>
          <w:lang w:eastAsia="zh-CN"/>
        </w:rPr>
        <w:t>，</w:t>
      </w:r>
      <w:r>
        <w:rPr>
          <w:rFonts w:hint="eastAsia" w:ascii="宋体" w:eastAsia="宋体"/>
          <w:szCs w:val="20"/>
          <w:highlight w:val="none"/>
        </w:rPr>
        <w:t>测试过渡电阻值</w:t>
      </w:r>
      <w:r>
        <w:rPr>
          <w:rFonts w:hint="eastAsia" w:ascii="宋体" w:eastAsia="宋体"/>
          <w:szCs w:val="20"/>
          <w:highlight w:val="none"/>
          <w:lang w:eastAsia="zh-CN"/>
        </w:rPr>
        <w:t>。</w:t>
      </w:r>
    </w:p>
    <w:p>
      <w:pPr>
        <w:pStyle w:val="94"/>
        <w:bidi w:val="0"/>
        <w:rPr>
          <w:rFonts w:hint="eastAsia"/>
          <w:lang w:val="en-US" w:eastAsia="zh-CN"/>
        </w:rPr>
      </w:pPr>
      <w:r>
        <w:rPr>
          <w:rFonts w:hint="eastAsia" w:ascii="宋体" w:eastAsia="宋体"/>
          <w:szCs w:val="20"/>
          <w:highlight w:val="none"/>
        </w:rPr>
        <w:t>检查所有穿过各防雷区界面处导电物在界面处与等电位连接排是否连接</w:t>
      </w:r>
      <w:r>
        <w:rPr>
          <w:rFonts w:hint="eastAsia" w:ascii="宋体" w:eastAsia="宋体"/>
          <w:szCs w:val="20"/>
          <w:highlight w:val="none"/>
          <w:lang w:eastAsia="zh-CN"/>
        </w:rPr>
        <w:t>。</w:t>
      </w:r>
    </w:p>
    <w:p>
      <w:pPr>
        <w:pStyle w:val="94"/>
        <w:bidi w:val="0"/>
        <w:rPr>
          <w:rFonts w:hint="eastAsia"/>
          <w:lang w:val="en-US" w:eastAsia="zh-CN"/>
        </w:rPr>
      </w:pPr>
      <w:r>
        <w:rPr>
          <w:rFonts w:hint="eastAsia" w:ascii="宋体" w:eastAsia="宋体"/>
          <w:szCs w:val="20"/>
        </w:rPr>
        <w:t>等电位连接的过渡电阻值一般不应超过 0.2Ω</w:t>
      </w:r>
      <w:r>
        <w:rPr>
          <w:rFonts w:hint="eastAsia" w:ascii="宋体" w:eastAsia="宋体"/>
          <w:szCs w:val="20"/>
          <w:lang w:eastAsia="zh-CN"/>
        </w:rPr>
        <w:t>。</w:t>
      </w:r>
    </w:p>
    <w:p>
      <w:pPr>
        <w:pStyle w:val="65"/>
        <w:bidi w:val="0"/>
        <w:rPr>
          <w:rFonts w:hint="eastAsia"/>
          <w:lang w:val="en-US" w:eastAsia="zh-CN"/>
        </w:rPr>
      </w:pPr>
      <w:bookmarkStart w:id="112" w:name="_Toc30907"/>
      <w:r>
        <w:rPr>
          <w:rFonts w:hint="eastAsia"/>
        </w:rPr>
        <w:t>电涌保护器（S</w:t>
      </w:r>
      <w:r>
        <w:t>PD</w:t>
      </w:r>
      <w:r>
        <w:rPr>
          <w:rFonts w:hint="eastAsia"/>
        </w:rPr>
        <w:t>）检测</w:t>
      </w:r>
      <w:bookmarkEnd w:id="112"/>
    </w:p>
    <w:p>
      <w:pPr>
        <w:pStyle w:val="94"/>
        <w:bidi w:val="0"/>
        <w:rPr>
          <w:rFonts w:hint="eastAsia" w:ascii="宋体" w:hAnsi="Times New Roman" w:eastAsia="宋体" w:cs="Times New Roman"/>
          <w:szCs w:val="20"/>
          <w:highlight w:val="none"/>
          <w:lang w:val="en-US" w:eastAsia="zh-CN"/>
        </w:rPr>
      </w:pPr>
      <w:r>
        <w:rPr>
          <w:rFonts w:hint="eastAsia" w:ascii="宋体" w:hAnsi="Times New Roman" w:eastAsia="宋体" w:cs="Times New Roman"/>
          <w:szCs w:val="20"/>
        </w:rPr>
        <w:t>测试</w:t>
      </w:r>
      <w:r>
        <w:rPr>
          <w:rFonts w:hint="eastAsia" w:ascii="宋体" w:hAnsi="Times New Roman" w:eastAsia="宋体" w:cs="Times New Roman"/>
          <w:szCs w:val="20"/>
          <w:highlight w:val="none"/>
        </w:rPr>
        <w:t>从环网柜引出</w:t>
      </w:r>
      <w:r>
        <w:rPr>
          <w:rFonts w:hint="eastAsia" w:ascii="宋体" w:hAnsi="Times New Roman" w:eastAsia="宋体" w:cs="Times New Roman"/>
          <w:szCs w:val="20"/>
        </w:rPr>
        <w:t>的分支线路上的中性线(N)与保护线(PE)之间的</w:t>
      </w:r>
      <w:r>
        <w:rPr>
          <w:rFonts w:hint="eastAsia" w:ascii="宋体" w:hAnsi="Times New Roman" w:eastAsia="宋体" w:cs="Times New Roman"/>
          <w:szCs w:val="20"/>
          <w:lang w:val="en-US" w:eastAsia="zh-CN"/>
        </w:rPr>
        <w:t>阻值</w:t>
      </w:r>
      <w:r>
        <w:rPr>
          <w:rFonts w:hint="eastAsia" w:ascii="宋体" w:hAnsi="Times New Roman" w:eastAsia="宋体" w:cs="Times New Roman"/>
          <w:szCs w:val="20"/>
          <w:lang w:eastAsia="zh-CN"/>
        </w:rPr>
        <w:t>，</w:t>
      </w:r>
      <w:r>
        <w:rPr>
          <w:rFonts w:hint="eastAsia" w:ascii="宋体" w:hAnsi="Times New Roman" w:eastAsia="宋体" w:cs="Times New Roman"/>
          <w:szCs w:val="20"/>
        </w:rPr>
        <w:t>确认线路为TN-C或</w:t>
      </w:r>
      <w:r>
        <w:rPr>
          <w:rFonts w:hint="eastAsia" w:ascii="宋体" w:hAnsi="Times New Roman" w:eastAsia="宋体" w:cs="Times New Roman"/>
          <w:szCs w:val="20"/>
          <w:highlight w:val="none"/>
        </w:rPr>
        <w:t>TN-C</w:t>
      </w:r>
      <w:r>
        <w:rPr>
          <w:rFonts w:hint="eastAsia" w:ascii="宋体" w:hAnsi="Times New Roman" w:eastAsia="宋体" w:cs="Times New Roman"/>
          <w:szCs w:val="20"/>
          <w:highlight w:val="none"/>
          <w:lang w:val="en-US" w:eastAsia="zh-CN"/>
        </w:rPr>
        <w:t>-</w:t>
      </w:r>
      <w:r>
        <w:rPr>
          <w:rFonts w:hint="eastAsia" w:ascii="宋体" w:hAnsi="Times New Roman" w:eastAsia="宋体" w:cs="Times New Roman"/>
          <w:szCs w:val="20"/>
          <w:highlight w:val="none"/>
        </w:rPr>
        <w:t>S</w:t>
      </w:r>
      <w:r>
        <w:rPr>
          <w:rFonts w:hint="eastAsia" w:ascii="宋体" w:hAnsi="Times New Roman" w:eastAsia="宋体" w:cs="Times New Roman"/>
          <w:szCs w:val="20"/>
          <w:highlight w:val="none"/>
          <w:lang w:val="en-US" w:eastAsia="zh-CN"/>
        </w:rPr>
        <w:t>或</w:t>
      </w:r>
      <w:r>
        <w:rPr>
          <w:rFonts w:hint="eastAsia" w:ascii="宋体" w:hAnsi="Times New Roman" w:eastAsia="宋体" w:cs="Times New Roman"/>
          <w:szCs w:val="20"/>
          <w:highlight w:val="none"/>
        </w:rPr>
        <w:t>TN-S或TT或I</w:t>
      </w:r>
      <w:r>
        <w:rPr>
          <w:rFonts w:hint="eastAsia" w:ascii="宋体" w:hAnsi="Times New Roman" w:eastAsia="宋体" w:cs="Times New Roman"/>
          <w:szCs w:val="20"/>
          <w:highlight w:val="none"/>
          <w:lang w:val="en-US" w:eastAsia="zh-CN"/>
        </w:rPr>
        <w:t>T</w:t>
      </w:r>
      <w:r>
        <w:rPr>
          <w:rFonts w:hint="eastAsia" w:ascii="宋体" w:hAnsi="Times New Roman" w:eastAsia="宋体" w:cs="Times New Roman"/>
          <w:szCs w:val="20"/>
          <w:highlight w:val="none"/>
        </w:rPr>
        <w:t>系统</w:t>
      </w:r>
      <w:r>
        <w:rPr>
          <w:rFonts w:hint="eastAsia" w:ascii="宋体" w:hAnsi="Times New Roman" w:eastAsia="宋体" w:cs="Times New Roman"/>
          <w:szCs w:val="20"/>
          <w:highlight w:val="none"/>
          <w:lang w:eastAsia="zh-CN"/>
        </w:rPr>
        <w:t>。</w:t>
      </w:r>
    </w:p>
    <w:p>
      <w:pPr>
        <w:pStyle w:val="94"/>
        <w:bidi w:val="0"/>
        <w:rPr>
          <w:rFonts w:hint="eastAsia" w:ascii="宋体" w:hAnsi="Times New Roman" w:eastAsia="宋体" w:cs="Times New Roman"/>
          <w:szCs w:val="20"/>
          <w:highlight w:val="none"/>
          <w:lang w:val="en-US" w:eastAsia="zh-CN"/>
        </w:rPr>
      </w:pPr>
      <w:r>
        <w:rPr>
          <w:rFonts w:hint="eastAsia" w:ascii="宋体" w:hAnsi="Times New Roman" w:eastAsia="宋体" w:cs="Times New Roman"/>
          <w:szCs w:val="20"/>
          <w:highlight w:val="none"/>
        </w:rPr>
        <w:t>检查电涌保护器（SPD）的布置、主要性能参数、连接导体的材料与规格、连接工艺、防护级数与级间配合、过电流保护是否符合 GB</w:t>
      </w:r>
      <w:r>
        <w:rPr>
          <w:rFonts w:hint="eastAsia" w:ascii="宋体" w:hAnsi="Times New Roman" w:eastAsia="宋体" w:cs="Times New Roman"/>
          <w:szCs w:val="20"/>
          <w:highlight w:val="none"/>
          <w:lang w:val="en-US" w:eastAsia="zh-CN"/>
        </w:rPr>
        <w:t>/T</w:t>
      </w:r>
      <w:r>
        <w:rPr>
          <w:rFonts w:hint="eastAsia" w:ascii="宋体" w:hAnsi="Times New Roman" w:eastAsia="宋体" w:cs="Times New Roman"/>
          <w:szCs w:val="20"/>
          <w:highlight w:val="none"/>
        </w:rPr>
        <w:t xml:space="preserve"> 21431-2023中5.5.6的要求。</w:t>
      </w:r>
    </w:p>
    <w:p>
      <w:pPr>
        <w:pStyle w:val="94"/>
        <w:bidi w:val="0"/>
        <w:rPr>
          <w:rFonts w:hint="eastAsia" w:ascii="宋体" w:hAnsi="Times New Roman" w:eastAsia="宋体" w:cs="Times New Roman"/>
          <w:szCs w:val="20"/>
          <w:highlight w:val="none"/>
          <w:lang w:val="en-US" w:eastAsia="zh-CN"/>
        </w:rPr>
      </w:pPr>
      <w:r>
        <w:rPr>
          <w:rFonts w:hint="eastAsia" w:ascii="宋体" w:hAnsi="Times New Roman" w:eastAsia="宋体" w:cs="Times New Roman"/>
          <w:szCs w:val="20"/>
          <w:highlight w:val="none"/>
        </w:rPr>
        <w:t>SPD外观表面应平整、光洁、无划伤、无裂痕和烧灼痕或变形，标识应完整和清晰，状态指示应正常</w:t>
      </w:r>
      <w:r>
        <w:rPr>
          <w:rFonts w:hint="eastAsia" w:ascii="宋体" w:hAnsi="Times New Roman" w:eastAsia="宋体" w:cs="Times New Roman"/>
          <w:szCs w:val="20"/>
          <w:highlight w:val="none"/>
          <w:lang w:eastAsia="zh-CN"/>
        </w:rPr>
        <w:t>。</w:t>
      </w:r>
    </w:p>
    <w:p>
      <w:pPr>
        <w:pStyle w:val="94"/>
        <w:bidi w:val="0"/>
        <w:rPr>
          <w:rFonts w:hint="eastAsia" w:ascii="宋体" w:eastAsia="宋体"/>
          <w:szCs w:val="20"/>
          <w:lang w:val="en-US" w:eastAsia="zh-CN"/>
        </w:rPr>
      </w:pPr>
      <w:r>
        <w:rPr>
          <w:rFonts w:ascii="宋体" w:eastAsia="宋体"/>
          <w:szCs w:val="20"/>
        </w:rPr>
        <w:t>SPD两端的连接导体应符合相线采用黄色、绿色、红色</w:t>
      </w:r>
      <w:r>
        <w:rPr>
          <w:rFonts w:hint="eastAsia" w:ascii="宋体" w:eastAsia="宋体"/>
          <w:szCs w:val="20"/>
        </w:rPr>
        <w:t>，</w:t>
      </w:r>
      <w:r>
        <w:rPr>
          <w:rFonts w:ascii="宋体" w:eastAsia="宋体"/>
          <w:szCs w:val="20"/>
        </w:rPr>
        <w:t>中性线用蓝色,保护地线采用黄绿双色线。并联接线时,电源 SPD 引入至引出端的引线长度不宜超过</w:t>
      </w:r>
      <w:r>
        <w:rPr>
          <w:rFonts w:hint="eastAsia" w:ascii="宋体" w:eastAsia="宋体"/>
          <w:szCs w:val="20"/>
        </w:rPr>
        <w:t>50cm</w:t>
      </w:r>
      <w:r>
        <w:rPr>
          <w:rFonts w:hint="eastAsia" w:ascii="宋体" w:eastAsia="宋体"/>
          <w:szCs w:val="20"/>
          <w:lang w:eastAsia="zh-CN"/>
        </w:rPr>
        <w:t>。</w:t>
      </w:r>
    </w:p>
    <w:p>
      <w:pPr>
        <w:pStyle w:val="94"/>
        <w:bidi w:val="0"/>
        <w:rPr>
          <w:rFonts w:hint="eastAsia" w:ascii="宋体" w:eastAsia="宋体"/>
          <w:szCs w:val="20"/>
          <w:lang w:val="en-US" w:eastAsia="zh-CN"/>
        </w:rPr>
      </w:pPr>
      <w:r>
        <w:rPr>
          <w:rFonts w:hint="eastAsia" w:ascii="宋体" w:eastAsia="宋体"/>
          <w:szCs w:val="20"/>
        </w:rPr>
        <w:t xml:space="preserve">检测SPD </w:t>
      </w:r>
      <w:r>
        <w:rPr>
          <w:rFonts w:ascii="宋体" w:eastAsia="宋体"/>
          <w:szCs w:val="20"/>
        </w:rPr>
        <w:t>的压敏电压</w:t>
      </w:r>
      <w:r>
        <w:rPr>
          <w:rFonts w:hint="eastAsia" w:ascii="宋体" w:eastAsia="宋体"/>
          <w:szCs w:val="20"/>
          <w:lang w:val="en-US" w:eastAsia="zh-CN"/>
        </w:rPr>
        <w:t>和</w:t>
      </w:r>
      <w:r>
        <w:rPr>
          <w:rFonts w:ascii="宋体" w:eastAsia="宋体"/>
          <w:szCs w:val="20"/>
        </w:rPr>
        <w:t>泄漏电流,测量方法和合格判据应符合 GB/T</w:t>
      </w:r>
      <w:r>
        <w:rPr>
          <w:rFonts w:hint="eastAsia" w:ascii="宋体" w:eastAsia="宋体"/>
          <w:szCs w:val="20"/>
        </w:rPr>
        <w:t xml:space="preserve"> </w:t>
      </w:r>
      <w:r>
        <w:rPr>
          <w:rFonts w:ascii="宋体" w:eastAsia="宋体"/>
          <w:szCs w:val="20"/>
        </w:rPr>
        <w:t>21431</w:t>
      </w:r>
      <w:r>
        <w:rPr>
          <w:rFonts w:hint="eastAsia" w:ascii="宋体" w:eastAsia="宋体"/>
          <w:szCs w:val="20"/>
        </w:rPr>
        <w:t>-2023</w:t>
      </w:r>
      <w:r>
        <w:rPr>
          <w:rFonts w:ascii="宋体" w:eastAsia="宋体"/>
          <w:szCs w:val="20"/>
        </w:rPr>
        <w:t>中5.</w:t>
      </w:r>
      <w:r>
        <w:rPr>
          <w:rFonts w:hint="eastAsia" w:ascii="宋体" w:eastAsia="宋体"/>
          <w:szCs w:val="20"/>
        </w:rPr>
        <w:t>5.6.9；5.5.6.10；5.5.6.11</w:t>
      </w:r>
      <w:r>
        <w:rPr>
          <w:rFonts w:ascii="宋体" w:eastAsia="宋体"/>
          <w:szCs w:val="20"/>
        </w:rPr>
        <w:t>的规定</w:t>
      </w:r>
      <w:r>
        <w:rPr>
          <w:rFonts w:hint="eastAsia" w:ascii="宋体" w:eastAsia="宋体"/>
          <w:szCs w:val="20"/>
          <w:lang w:eastAsia="zh-CN"/>
        </w:rPr>
        <w:t>。</w:t>
      </w:r>
    </w:p>
    <w:p>
      <w:pPr>
        <w:pStyle w:val="94"/>
        <w:bidi w:val="0"/>
        <w:rPr>
          <w:rFonts w:hint="eastAsia" w:ascii="宋体" w:eastAsia="宋体"/>
          <w:szCs w:val="20"/>
          <w:lang w:val="en-US" w:eastAsia="zh-CN"/>
        </w:rPr>
      </w:pPr>
      <w:r>
        <w:rPr>
          <w:rFonts w:hint="eastAsia" w:ascii="宋体" w:eastAsia="宋体"/>
          <w:szCs w:val="20"/>
        </w:rPr>
        <w:t>SPD检测应对前置保护装置进行检查</w:t>
      </w:r>
      <w:r>
        <w:rPr>
          <w:rFonts w:hint="eastAsia" w:ascii="宋体" w:eastAsia="宋体"/>
          <w:szCs w:val="20"/>
          <w:lang w:eastAsia="zh-CN"/>
        </w:rPr>
        <w:t>，</w:t>
      </w:r>
      <w:r>
        <w:rPr>
          <w:rFonts w:hint="eastAsia" w:ascii="宋体" w:eastAsia="宋体"/>
          <w:szCs w:val="20"/>
          <w:lang w:val="en-US" w:eastAsia="zh-CN"/>
        </w:rPr>
        <w:t>确保电源SPD正常工作。</w:t>
      </w:r>
    </w:p>
    <w:p>
      <w:pPr>
        <w:pStyle w:val="94"/>
        <w:bidi w:val="0"/>
        <w:rPr>
          <w:rFonts w:hint="eastAsia" w:ascii="宋体" w:eastAsia="宋体"/>
          <w:szCs w:val="20"/>
          <w:lang w:val="en-US" w:eastAsia="zh-CN"/>
        </w:rPr>
      </w:pPr>
      <w:r>
        <w:rPr>
          <w:rFonts w:hint="eastAsia" w:ascii="宋体" w:eastAsia="宋体"/>
          <w:szCs w:val="20"/>
        </w:rPr>
        <w:t>检测SPD接地端（线）与等电位连接带之间电气连接</w:t>
      </w:r>
      <w:r>
        <w:rPr>
          <w:rFonts w:ascii="宋体" w:eastAsia="宋体"/>
          <w:szCs w:val="20"/>
        </w:rPr>
        <w:t>,过渡电阻值应</w:t>
      </w:r>
      <w:r>
        <w:rPr>
          <w:rFonts w:hint="eastAsia" w:ascii="宋体" w:eastAsia="宋体"/>
          <w:szCs w:val="20"/>
          <w:lang w:val="en-US" w:eastAsia="zh-CN"/>
        </w:rPr>
        <w:t>不</w:t>
      </w:r>
      <w:r>
        <w:rPr>
          <w:rFonts w:ascii="宋体" w:eastAsia="宋体"/>
          <w:szCs w:val="20"/>
        </w:rPr>
        <w:t>大于</w:t>
      </w:r>
      <w:r>
        <w:rPr>
          <w:rFonts w:hint="eastAsia" w:ascii="宋体" w:eastAsia="宋体"/>
          <w:szCs w:val="20"/>
        </w:rPr>
        <w:t>0.2Ω</w:t>
      </w:r>
      <w:r>
        <w:rPr>
          <w:rFonts w:hint="eastAsia" w:ascii="宋体" w:eastAsia="宋体"/>
          <w:szCs w:val="20"/>
          <w:lang w:eastAsia="zh-CN"/>
        </w:rPr>
        <w:t>。</w:t>
      </w:r>
    </w:p>
    <w:p>
      <w:pPr>
        <w:pStyle w:val="105"/>
        <w:bidi w:val="0"/>
        <w:rPr>
          <w:rFonts w:hint="eastAsia"/>
          <w:lang w:val="en-US" w:eastAsia="zh-CN"/>
        </w:rPr>
      </w:pPr>
      <w:bookmarkStart w:id="113" w:name="_Toc20556"/>
      <w:bookmarkStart w:id="114" w:name="_Toc20067"/>
      <w:bookmarkStart w:id="115" w:name="_Toc29253"/>
      <w:r>
        <w:rPr>
          <w:rFonts w:hint="eastAsia"/>
          <w:lang w:val="en-US" w:eastAsia="zh-CN"/>
        </w:rPr>
        <w:t>海上风电场升压站</w:t>
      </w:r>
      <w:bookmarkEnd w:id="113"/>
      <w:bookmarkEnd w:id="114"/>
      <w:bookmarkEnd w:id="115"/>
    </w:p>
    <w:p>
      <w:pPr>
        <w:pStyle w:val="65"/>
        <w:bidi w:val="0"/>
        <w:rPr>
          <w:rFonts w:hint="eastAsia"/>
          <w:lang w:val="en-US" w:eastAsia="zh-CN"/>
        </w:rPr>
      </w:pPr>
      <w:bookmarkStart w:id="116" w:name="_Toc11507"/>
      <w:r>
        <w:rPr>
          <w:rFonts w:hint="eastAsia" w:ascii="宋体" w:eastAsia="宋体"/>
          <w:szCs w:val="20"/>
        </w:rPr>
        <w:t>首次检测时应查看隐蔽工程纪录</w:t>
      </w:r>
      <w:r>
        <w:rPr>
          <w:rFonts w:hint="eastAsia" w:ascii="宋体" w:eastAsia="宋体"/>
          <w:szCs w:val="20"/>
          <w:lang w:eastAsia="zh-CN"/>
        </w:rPr>
        <w:t>。</w:t>
      </w:r>
      <w:bookmarkEnd w:id="116"/>
    </w:p>
    <w:p>
      <w:pPr>
        <w:pStyle w:val="65"/>
        <w:bidi w:val="0"/>
        <w:rPr>
          <w:rFonts w:hint="eastAsia"/>
          <w:lang w:val="en-US" w:eastAsia="zh-CN"/>
        </w:rPr>
      </w:pPr>
      <w:bookmarkStart w:id="117" w:name="_Toc7710"/>
      <w:r>
        <w:rPr>
          <w:rFonts w:hint="eastAsia" w:hAnsi="Times New Roman" w:eastAsia="宋体" w:cs="Times New Roman"/>
          <w:szCs w:val="20"/>
          <w:highlight w:val="none"/>
          <w:lang w:val="en-US" w:eastAsia="zh-CN"/>
        </w:rPr>
        <w:t>海上风电场升压站应设置</w:t>
      </w:r>
      <w:r>
        <w:rPr>
          <w:rFonts w:hint="eastAsia" w:ascii="宋体" w:eastAsia="宋体"/>
          <w:szCs w:val="20"/>
          <w:highlight w:val="none"/>
        </w:rPr>
        <w:t>接闪杆</w:t>
      </w:r>
      <w:r>
        <w:rPr>
          <w:rFonts w:hint="eastAsia" w:hAnsi="Times New Roman" w:eastAsia="宋体" w:cs="Times New Roman"/>
          <w:szCs w:val="20"/>
          <w:highlight w:val="none"/>
          <w:lang w:val="en-US" w:eastAsia="zh-CN"/>
        </w:rPr>
        <w:t>及金属结构物作为接闪器进行直击雷保护，并通过接地引下线和平台自身钢柱，与海底基础钢管桩连接。平台屋内外应按照雷电防护区（</w:t>
      </w:r>
      <w:r>
        <w:rPr>
          <w:rFonts w:hint="eastAsia" w:eastAsia="宋体" w:cs="Times New Roman"/>
          <w:szCs w:val="20"/>
          <w:highlight w:val="none"/>
          <w:lang w:val="en-US" w:eastAsia="zh-CN"/>
        </w:rPr>
        <w:t>LPZ</w:t>
      </w:r>
      <w:r>
        <w:rPr>
          <w:rFonts w:hint="eastAsia" w:hAnsi="Times New Roman" w:eastAsia="宋体" w:cs="Times New Roman"/>
          <w:szCs w:val="20"/>
          <w:highlight w:val="none"/>
          <w:lang w:val="en-US" w:eastAsia="zh-CN"/>
        </w:rPr>
        <w:t>）的相关要求采取防护措施，平台屋顶和侧面外露的通信天线、充油设备外壳</w:t>
      </w:r>
      <w:r>
        <w:rPr>
          <w:rFonts w:hint="eastAsia" w:hAnsi="Times New Roman" w:eastAsia="宋体" w:cs="Times New Roman"/>
          <w:szCs w:val="20"/>
          <w:lang w:val="en-US" w:eastAsia="zh-CN"/>
        </w:rPr>
        <w:t>应处于直击雷保护范围内</w:t>
      </w:r>
      <w:r>
        <w:rPr>
          <w:rFonts w:hint="eastAsia" w:eastAsia="宋体" w:cs="Times New Roman"/>
          <w:szCs w:val="20"/>
          <w:lang w:val="en-US" w:eastAsia="zh-CN"/>
        </w:rPr>
        <w:t>。</w:t>
      </w:r>
      <w:bookmarkEnd w:id="117"/>
    </w:p>
    <w:p>
      <w:pPr>
        <w:pStyle w:val="65"/>
        <w:bidi w:val="0"/>
        <w:rPr>
          <w:rFonts w:hint="eastAsia"/>
          <w:lang w:val="en-US" w:eastAsia="zh-CN"/>
        </w:rPr>
      </w:pPr>
      <w:bookmarkStart w:id="118" w:name="_Toc25004"/>
      <w:r>
        <w:rPr>
          <w:rFonts w:hint="eastAsia" w:ascii="宋体" w:hAnsi="Times New Roman" w:eastAsia="宋体" w:cs="Times New Roman"/>
          <w:strike w:val="0"/>
          <w:dstrike w:val="0"/>
          <w:szCs w:val="20"/>
        </w:rPr>
        <w:t>建筑物应利用其结构钢筋或钢结构柱作为自然引下线;当无结构钢筋或钢结构柱可利用时,应设置专设引下线。引下线上不应附着电气、通信、信号或其他线路。独立接闪杆的杆塔、架空接闪线的端部和架空接闪网的每根支柱处应至少设一根引下线</w:t>
      </w:r>
      <w:r>
        <w:rPr>
          <w:rFonts w:hint="eastAsia" w:ascii="宋体" w:eastAsia="宋体" w:cs="Times New Roman"/>
          <w:strike w:val="0"/>
          <w:dstrike w:val="0"/>
          <w:szCs w:val="20"/>
          <w:lang w:eastAsia="zh-CN"/>
        </w:rPr>
        <w:t>。</w:t>
      </w:r>
      <w:bookmarkEnd w:id="118"/>
    </w:p>
    <w:p>
      <w:pPr>
        <w:pStyle w:val="65"/>
        <w:bidi w:val="0"/>
        <w:rPr>
          <w:rFonts w:hint="eastAsia"/>
          <w:lang w:val="en-US" w:eastAsia="zh-CN"/>
        </w:rPr>
      </w:pPr>
      <w:bookmarkStart w:id="119" w:name="_Toc3203"/>
      <w:r>
        <w:rPr>
          <w:rFonts w:hint="eastAsia" w:ascii="宋体" w:hAnsi="Times New Roman" w:eastAsia="宋体" w:cs="Times New Roman"/>
          <w:szCs w:val="20"/>
        </w:rPr>
        <w:t>自然引下线和专设引下线上端应与接闪器可靠连接,下端应与接地装置可靠连接</w:t>
      </w:r>
      <w:r>
        <w:rPr>
          <w:rFonts w:hint="eastAsia" w:ascii="宋体" w:hAnsi="Times New Roman" w:eastAsia="宋体" w:cs="Times New Roman"/>
          <w:szCs w:val="20"/>
          <w:lang w:eastAsia="zh-CN"/>
        </w:rPr>
        <w:t>，</w:t>
      </w:r>
      <w:r>
        <w:rPr>
          <w:rFonts w:hint="eastAsia" w:ascii="宋体" w:hAnsi="Times New Roman" w:eastAsia="宋体" w:cs="Times New Roman"/>
          <w:szCs w:val="20"/>
          <w:lang w:val="en-US" w:eastAsia="zh-CN"/>
        </w:rPr>
        <w:t>测试</w:t>
      </w:r>
      <w:r>
        <w:rPr>
          <w:rFonts w:hint="eastAsia" w:ascii="宋体" w:hAnsi="Times New Roman" w:eastAsia="宋体" w:cs="Times New Roman"/>
          <w:szCs w:val="20"/>
        </w:rPr>
        <w:t>连接处两端的过渡电阻值应</w:t>
      </w:r>
      <w:r>
        <w:rPr>
          <w:rFonts w:hint="eastAsia" w:ascii="宋体" w:hAnsi="Times New Roman" w:eastAsia="宋体" w:cs="Times New Roman"/>
          <w:szCs w:val="20"/>
          <w:lang w:val="en-US" w:eastAsia="zh-CN"/>
        </w:rPr>
        <w:t>不</w:t>
      </w:r>
      <w:r>
        <w:rPr>
          <w:rFonts w:hint="eastAsia" w:ascii="宋体" w:hAnsi="Times New Roman" w:eastAsia="宋体" w:cs="Times New Roman"/>
          <w:szCs w:val="20"/>
        </w:rPr>
        <w:t>大于0.2Ω。引下线的数量、间距应符合GB50057-2010中4.2.1、4.2.2、4.2.3的规定</w:t>
      </w:r>
      <w:r>
        <w:rPr>
          <w:rFonts w:hint="eastAsia" w:ascii="宋体" w:eastAsia="宋体" w:cs="Times New Roman"/>
          <w:szCs w:val="20"/>
          <w:lang w:eastAsia="zh-CN"/>
        </w:rPr>
        <w:t>。</w:t>
      </w:r>
      <w:bookmarkEnd w:id="119"/>
    </w:p>
    <w:p>
      <w:pPr>
        <w:pStyle w:val="65"/>
        <w:bidi w:val="0"/>
        <w:rPr>
          <w:rFonts w:hint="eastAsia"/>
          <w:lang w:val="en-US" w:eastAsia="zh-CN"/>
        </w:rPr>
      </w:pPr>
      <w:bookmarkStart w:id="120" w:name="_Toc15204"/>
      <w:r>
        <w:rPr>
          <w:rFonts w:hint="eastAsia" w:ascii="宋体" w:hAnsi="Times New Roman" w:eastAsia="宋体" w:cs="Times New Roman"/>
          <w:szCs w:val="20"/>
        </w:rPr>
        <w:t>接地装置的材料和规格应符合GB50057-2010中4.2.2的规定</w:t>
      </w:r>
      <w:r>
        <w:rPr>
          <w:rFonts w:hint="eastAsia" w:ascii="宋体" w:eastAsia="宋体" w:cs="Times New Roman"/>
          <w:szCs w:val="20"/>
          <w:lang w:eastAsia="zh-CN"/>
        </w:rPr>
        <w:t>。</w:t>
      </w:r>
      <w:bookmarkEnd w:id="120"/>
    </w:p>
    <w:p>
      <w:pPr>
        <w:pStyle w:val="65"/>
        <w:bidi w:val="0"/>
        <w:rPr>
          <w:rFonts w:hint="eastAsia"/>
          <w:lang w:val="en-US" w:eastAsia="zh-CN"/>
        </w:rPr>
      </w:pPr>
      <w:bookmarkStart w:id="121" w:name="_Toc12479"/>
      <w:r>
        <w:rPr>
          <w:rFonts w:hint="eastAsia" w:ascii="宋体" w:hAnsi="Times New Roman" w:eastAsia="宋体" w:cs="Times New Roman"/>
          <w:szCs w:val="20"/>
          <w:lang w:val="en-US" w:eastAsia="zh-CN"/>
        </w:rPr>
        <w:t>测试主控室环形接地母线及各设备装置的过渡电阻值,</w:t>
      </w:r>
      <w:r>
        <w:rPr>
          <w:rFonts w:hint="eastAsia" w:ascii="宋体" w:hAnsi="Times New Roman" w:eastAsia="宋体" w:cs="Times New Roman"/>
          <w:szCs w:val="20"/>
        </w:rPr>
        <w:t>过渡电阻值应</w:t>
      </w:r>
      <w:r>
        <w:rPr>
          <w:rFonts w:hint="eastAsia" w:ascii="宋体" w:hAnsi="Times New Roman" w:eastAsia="宋体" w:cs="Times New Roman"/>
          <w:szCs w:val="20"/>
          <w:lang w:val="en-US" w:eastAsia="zh-CN"/>
        </w:rPr>
        <w:t>不</w:t>
      </w:r>
      <w:r>
        <w:rPr>
          <w:rFonts w:hint="eastAsia" w:ascii="宋体" w:hAnsi="Times New Roman" w:eastAsia="宋体" w:cs="Times New Roman"/>
          <w:szCs w:val="20"/>
        </w:rPr>
        <w:t>大于0.2Ω</w:t>
      </w:r>
      <w:r>
        <w:rPr>
          <w:rFonts w:hint="eastAsia" w:ascii="宋体" w:eastAsia="宋体" w:cs="Times New Roman"/>
          <w:szCs w:val="20"/>
          <w:lang w:eastAsia="zh-CN"/>
        </w:rPr>
        <w:t>。</w:t>
      </w:r>
      <w:bookmarkEnd w:id="121"/>
    </w:p>
    <w:p>
      <w:pPr>
        <w:pStyle w:val="65"/>
        <w:bidi w:val="0"/>
        <w:rPr>
          <w:rFonts w:hint="eastAsia"/>
          <w:lang w:val="en-US" w:eastAsia="zh-CN"/>
        </w:rPr>
      </w:pPr>
      <w:bookmarkStart w:id="122" w:name="_Toc23079"/>
      <w:r>
        <w:rPr>
          <w:rFonts w:hint="eastAsia" w:ascii="宋体" w:hAnsi="Times New Roman" w:eastAsia="宋体" w:cs="Times New Roman"/>
          <w:szCs w:val="20"/>
          <w:highlight w:val="none"/>
          <w:lang w:val="en-US" w:eastAsia="zh-CN"/>
        </w:rPr>
        <w:t>检査海上风电场升压站内的设备、管道、构架、电缆金属外皮、大件金属物等的等电位连接状态</w:t>
      </w:r>
      <w:r>
        <w:rPr>
          <w:rFonts w:hint="eastAsia" w:ascii="宋体" w:eastAsia="宋体" w:cs="Times New Roman"/>
          <w:szCs w:val="20"/>
          <w:highlight w:val="none"/>
          <w:lang w:val="en-US" w:eastAsia="zh-CN"/>
        </w:rPr>
        <w:t>。</w:t>
      </w:r>
      <w:bookmarkEnd w:id="122"/>
    </w:p>
    <w:p>
      <w:pPr>
        <w:pStyle w:val="65"/>
        <w:bidi w:val="0"/>
        <w:rPr>
          <w:rFonts w:hint="eastAsia"/>
          <w:lang w:val="en-US" w:eastAsia="zh-CN"/>
        </w:rPr>
      </w:pPr>
      <w:bookmarkStart w:id="123" w:name="_Toc21300"/>
      <w:r>
        <w:rPr>
          <w:rFonts w:hint="eastAsia" w:hAnsi="Times New Roman" w:eastAsia="宋体" w:cs="Times New Roman"/>
          <w:szCs w:val="20"/>
          <w:highlight w:val="none"/>
          <w:lang w:val="en-US" w:eastAsia="zh-CN"/>
        </w:rPr>
        <w:t>海上风电场升压站</w:t>
      </w:r>
      <w:r>
        <w:rPr>
          <w:rFonts w:hint="eastAsia" w:ascii="宋体" w:hAnsi="Times New Roman" w:eastAsia="宋体" w:cs="Times New Roman"/>
          <w:sz w:val="21"/>
          <w:szCs w:val="20"/>
          <w:highlight w:val="none"/>
          <w:lang w:val="en-US" w:eastAsia="zh-CN" w:bidi="ar-SA"/>
        </w:rPr>
        <w:t>电力设备的接地引下线与</w:t>
      </w:r>
      <w:r>
        <w:rPr>
          <w:rFonts w:hint="eastAsia" w:hAnsi="Times New Roman" w:eastAsia="宋体" w:cs="Times New Roman"/>
          <w:sz w:val="21"/>
          <w:szCs w:val="20"/>
          <w:highlight w:val="none"/>
          <w:lang w:val="en-US" w:eastAsia="zh-CN" w:bidi="ar-SA"/>
        </w:rPr>
        <w:t>主</w:t>
      </w:r>
      <w:r>
        <w:rPr>
          <w:rFonts w:hint="eastAsia" w:ascii="宋体" w:hAnsi="Times New Roman" w:eastAsia="宋体" w:cs="Times New Roman"/>
          <w:sz w:val="21"/>
          <w:szCs w:val="20"/>
          <w:highlight w:val="none"/>
          <w:lang w:val="en-US" w:eastAsia="zh-CN" w:bidi="ar-SA"/>
        </w:rPr>
        <w:t>地网</w:t>
      </w:r>
      <w:r>
        <w:rPr>
          <w:rFonts w:hint="eastAsia" w:hAnsi="Times New Roman" w:eastAsia="宋体" w:cs="Times New Roman"/>
          <w:sz w:val="21"/>
          <w:szCs w:val="20"/>
          <w:highlight w:val="none"/>
          <w:lang w:val="en-US" w:eastAsia="zh-CN" w:bidi="ar-SA"/>
        </w:rPr>
        <w:t>之间、电力设备之间以及其他必要部分与主地网之间应有良好的电气导通性，状况良好的设备测试值应不大于</w:t>
      </w:r>
      <w:r>
        <w:rPr>
          <w:rFonts w:hint="eastAsia" w:ascii="宋体" w:eastAsia="宋体"/>
          <w:szCs w:val="20"/>
          <w:lang w:val="en-US" w:eastAsia="zh-CN"/>
        </w:rPr>
        <w:t>50mΩ</w:t>
      </w:r>
      <w:r>
        <w:rPr>
          <w:rFonts w:hint="eastAsia" w:hAnsi="Times New Roman" w:eastAsia="宋体" w:cs="Times New Roman"/>
          <w:sz w:val="21"/>
          <w:szCs w:val="20"/>
          <w:highlight w:val="none"/>
          <w:lang w:val="en-US" w:eastAsia="zh-CN" w:bidi="ar-SA"/>
        </w:rPr>
        <w:t>。具体</w:t>
      </w:r>
      <w:r>
        <w:rPr>
          <w:rFonts w:hint="eastAsia" w:hAnsi="Times New Roman" w:eastAsia="宋体" w:cs="Times New Roman"/>
          <w:szCs w:val="20"/>
          <w:highlight w:val="none"/>
          <w:lang w:val="en-US" w:eastAsia="zh-CN"/>
        </w:rPr>
        <w:t>测试方法及其他情况应参</w:t>
      </w:r>
      <w:r>
        <w:rPr>
          <w:rFonts w:hint="eastAsia" w:ascii="宋体" w:hAnsi="Times New Roman" w:eastAsia="宋体" w:cs="Times New Roman"/>
          <w:sz w:val="21"/>
          <w:szCs w:val="20"/>
          <w:highlight w:val="none"/>
          <w:lang w:val="en-US" w:eastAsia="zh-CN" w:bidi="ar-SA"/>
        </w:rPr>
        <w:t>考DL/T 475-2017第5章</w:t>
      </w:r>
      <w:r>
        <w:rPr>
          <w:rFonts w:hint="eastAsia" w:hAnsi="Times New Roman" w:eastAsia="宋体" w:cs="Times New Roman"/>
          <w:sz w:val="21"/>
          <w:szCs w:val="20"/>
          <w:highlight w:val="none"/>
          <w:lang w:val="en-US" w:eastAsia="zh-CN" w:bidi="ar-SA"/>
        </w:rPr>
        <w:t>的</w:t>
      </w:r>
      <w:r>
        <w:rPr>
          <w:rFonts w:hint="eastAsia" w:hAnsi="Times New Roman" w:eastAsia="宋体" w:cs="Times New Roman"/>
          <w:szCs w:val="20"/>
          <w:highlight w:val="none"/>
          <w:lang w:val="en-US" w:eastAsia="zh-CN"/>
        </w:rPr>
        <w:t>内容确定</w:t>
      </w:r>
      <w:r>
        <w:rPr>
          <w:rFonts w:hint="eastAsia" w:eastAsia="宋体" w:cs="Times New Roman"/>
          <w:szCs w:val="20"/>
          <w:highlight w:val="none"/>
          <w:lang w:val="en-US" w:eastAsia="zh-CN"/>
        </w:rPr>
        <w:t>。</w:t>
      </w:r>
      <w:bookmarkEnd w:id="123"/>
    </w:p>
    <w:p>
      <w:pPr>
        <w:pStyle w:val="65"/>
        <w:bidi w:val="0"/>
        <w:rPr>
          <w:rFonts w:hint="eastAsia"/>
          <w:lang w:val="en-US" w:eastAsia="zh-CN"/>
        </w:rPr>
      </w:pPr>
      <w:bookmarkStart w:id="124" w:name="_Toc4907"/>
      <w:r>
        <w:rPr>
          <w:rFonts w:hint="eastAsia" w:ascii="宋体" w:hAnsi="Times New Roman" w:eastAsia="宋体" w:cs="Times New Roman"/>
          <w:strike w:val="0"/>
          <w:dstrike w:val="0"/>
          <w:kern w:val="0"/>
          <w:sz w:val="21"/>
          <w:szCs w:val="20"/>
          <w:highlight w:val="none"/>
          <w:lang w:val="en-US" w:eastAsia="zh-CN" w:bidi="ar-SA"/>
        </w:rPr>
        <w:t>海上风电场升压站</w:t>
      </w:r>
      <w:r>
        <w:rPr>
          <w:rFonts w:hint="eastAsia" w:hAnsi="Times New Roman" w:eastAsia="宋体" w:cs="Times New Roman"/>
          <w:szCs w:val="20"/>
          <w:highlight w:val="none"/>
          <w:lang w:val="en-US" w:eastAsia="zh-CN"/>
        </w:rPr>
        <w:t>接地电阻的测量及方法见附</w:t>
      </w:r>
      <w:r>
        <w:rPr>
          <w:rFonts w:hint="eastAsia" w:ascii="宋体" w:eastAsia="宋体"/>
          <w:szCs w:val="20"/>
          <w:lang w:val="en-US" w:eastAsia="zh-CN"/>
        </w:rPr>
        <w:t>录A，</w:t>
      </w:r>
      <w:r>
        <w:rPr>
          <w:rFonts w:hint="eastAsia" w:hAnsi="Times New Roman" w:eastAsia="宋体" w:cs="Times New Roman"/>
          <w:szCs w:val="20"/>
          <w:highlight w:val="none"/>
          <w:lang w:val="en-US" w:eastAsia="zh-CN"/>
        </w:rPr>
        <w:t>接地</w:t>
      </w:r>
      <w:r>
        <w:rPr>
          <w:rFonts w:hint="eastAsia" w:ascii="宋体" w:hAnsi="Times New Roman" w:eastAsia="宋体" w:cs="Times New Roman"/>
          <w:strike w:val="0"/>
          <w:dstrike w:val="0"/>
          <w:kern w:val="0"/>
          <w:sz w:val="21"/>
          <w:szCs w:val="20"/>
          <w:highlight w:val="none"/>
          <w:lang w:val="en-US" w:eastAsia="zh-CN" w:bidi="ar-SA"/>
        </w:rPr>
        <w:t>网的接地电阻应不大于附录B所计算的最大接地电阻值</w:t>
      </w:r>
      <w:r>
        <w:rPr>
          <w:rFonts w:hint="eastAsia" w:ascii="宋体" w:eastAsia="宋体" w:cs="Times New Roman"/>
          <w:strike w:val="0"/>
          <w:dstrike w:val="0"/>
          <w:kern w:val="0"/>
          <w:sz w:val="21"/>
          <w:szCs w:val="20"/>
          <w:highlight w:val="none"/>
          <w:lang w:val="en-US" w:eastAsia="zh-CN" w:bidi="ar-SA"/>
        </w:rPr>
        <w:t>。</w:t>
      </w:r>
      <w:bookmarkEnd w:id="124"/>
    </w:p>
    <w:p>
      <w:pPr>
        <w:pStyle w:val="65"/>
        <w:bidi w:val="0"/>
        <w:rPr>
          <w:rFonts w:hint="eastAsia"/>
          <w:lang w:val="en-US" w:eastAsia="zh-CN"/>
        </w:rPr>
      </w:pPr>
      <w:bookmarkStart w:id="125" w:name="_Toc28958"/>
      <w:r>
        <w:rPr>
          <w:rFonts w:hint="eastAsia" w:ascii="宋体" w:hAnsi="Times New Roman" w:eastAsia="宋体" w:cs="Times New Roman"/>
          <w:szCs w:val="20"/>
        </w:rPr>
        <w:t>在电源引入的总配电箱处应装设Ⅰ级试验的电涌保护器。电涌保护器的电压保护水平值应小于或等于 2.5 kV。每一保护模式的冲击电流值，当无法确定时，冲击电流应取等于或大于 12.5 kA</w:t>
      </w:r>
      <w:r>
        <w:rPr>
          <w:rFonts w:hint="eastAsia" w:ascii="宋体" w:eastAsia="宋体" w:cs="Times New Roman"/>
          <w:szCs w:val="20"/>
          <w:lang w:eastAsia="zh-CN"/>
        </w:rPr>
        <w:t>。</w:t>
      </w:r>
      <w:bookmarkEnd w:id="125"/>
    </w:p>
    <w:p>
      <w:pPr>
        <w:pStyle w:val="105"/>
        <w:bidi w:val="0"/>
        <w:rPr>
          <w:rFonts w:hint="eastAsia"/>
          <w:lang w:val="en-US" w:eastAsia="zh-CN"/>
        </w:rPr>
      </w:pPr>
      <w:bookmarkStart w:id="126" w:name="_Toc2328"/>
      <w:bookmarkStart w:id="127" w:name="_Toc26688"/>
      <w:bookmarkStart w:id="128" w:name="_Toc24628"/>
      <w:r>
        <w:rPr>
          <w:rFonts w:hint="eastAsia"/>
          <w:lang w:val="en-US" w:eastAsia="zh-CN"/>
        </w:rPr>
        <w:t>陆上集控中心</w:t>
      </w:r>
      <w:bookmarkEnd w:id="126"/>
      <w:bookmarkEnd w:id="127"/>
      <w:bookmarkEnd w:id="128"/>
    </w:p>
    <w:p>
      <w:pPr>
        <w:pStyle w:val="65"/>
        <w:bidi w:val="0"/>
        <w:rPr>
          <w:rFonts w:hint="eastAsia"/>
          <w:lang w:val="en-US" w:eastAsia="zh-CN"/>
        </w:rPr>
      </w:pPr>
      <w:bookmarkStart w:id="129" w:name="_Toc4310"/>
      <w:r>
        <w:rPr>
          <w:rFonts w:hint="eastAsia" w:ascii="宋体" w:eastAsia="宋体"/>
          <w:szCs w:val="20"/>
        </w:rPr>
        <w:t>建筑物外部防雷的措施，宜采用装设在建筑物上的接闪网、接闪带或接闪杆，或由其混合组成的接闪器，接闪器之间应互相连接</w:t>
      </w:r>
      <w:r>
        <w:rPr>
          <w:rFonts w:hint="eastAsia" w:ascii="宋体" w:eastAsia="宋体"/>
          <w:szCs w:val="20"/>
          <w:lang w:eastAsia="zh-CN"/>
        </w:rPr>
        <w:t>，</w:t>
      </w:r>
      <w:r>
        <w:rPr>
          <w:rFonts w:hint="eastAsia" w:ascii="宋体" w:eastAsia="宋体"/>
          <w:szCs w:val="20"/>
        </w:rPr>
        <w:t>规格尺寸应符合 GB 50057-2010中第5章的要求</w:t>
      </w:r>
      <w:r>
        <w:rPr>
          <w:rFonts w:hint="eastAsia" w:ascii="宋体" w:eastAsia="宋体"/>
          <w:szCs w:val="20"/>
          <w:lang w:eastAsia="zh-CN"/>
        </w:rPr>
        <w:t>。</w:t>
      </w:r>
      <w:bookmarkEnd w:id="129"/>
    </w:p>
    <w:p>
      <w:pPr>
        <w:pStyle w:val="65"/>
        <w:bidi w:val="0"/>
        <w:rPr>
          <w:rFonts w:hint="eastAsia" w:ascii="宋体" w:eastAsia="宋体"/>
          <w:szCs w:val="20"/>
          <w:lang w:val="en-US" w:eastAsia="zh-CN"/>
        </w:rPr>
      </w:pPr>
      <w:bookmarkStart w:id="130" w:name="_Toc31538"/>
      <w:r>
        <w:rPr>
          <w:rFonts w:hint="eastAsia" w:ascii="宋体" w:eastAsia="宋体"/>
          <w:szCs w:val="20"/>
        </w:rPr>
        <w:t>陆上集控中心其他</w:t>
      </w:r>
      <w:r>
        <w:rPr>
          <w:rFonts w:hint="eastAsia" w:ascii="宋体" w:eastAsia="宋体"/>
          <w:szCs w:val="20"/>
          <w:lang w:val="en-US" w:eastAsia="zh-CN"/>
        </w:rPr>
        <w:tab/>
      </w:r>
      <w:r>
        <w:rPr>
          <w:rFonts w:hint="eastAsia" w:ascii="宋体" w:eastAsia="宋体"/>
          <w:szCs w:val="20"/>
        </w:rPr>
        <w:t>检测项目的要求和方法应符合GB/T 21431-2023</w:t>
      </w:r>
      <w:r>
        <w:rPr>
          <w:rFonts w:hint="eastAsia" w:ascii="宋体" w:eastAsia="宋体"/>
          <w:szCs w:val="20"/>
          <w:lang w:val="en-US" w:eastAsia="zh-CN"/>
        </w:rPr>
        <w:t xml:space="preserve"> </w:t>
      </w:r>
      <w:r>
        <w:rPr>
          <w:rFonts w:hint="eastAsia" w:ascii="宋体" w:eastAsia="宋体"/>
          <w:szCs w:val="20"/>
        </w:rPr>
        <w:t>中5.5的要求</w:t>
      </w:r>
      <w:r>
        <w:rPr>
          <w:rFonts w:hint="eastAsia" w:ascii="宋体" w:eastAsia="宋体"/>
          <w:szCs w:val="20"/>
          <w:lang w:eastAsia="zh-CN"/>
        </w:rPr>
        <w:t>。</w:t>
      </w:r>
      <w:bookmarkEnd w:id="130"/>
    </w:p>
    <w:p>
      <w:pPr>
        <w:pStyle w:val="65"/>
        <w:bidi w:val="0"/>
        <w:rPr>
          <w:rFonts w:hint="eastAsia" w:ascii="宋体" w:eastAsia="宋体"/>
          <w:szCs w:val="20"/>
          <w:lang w:val="en-US" w:eastAsia="zh-CN"/>
        </w:rPr>
      </w:pPr>
      <w:bookmarkStart w:id="131" w:name="_Toc9607"/>
      <w:r>
        <w:rPr>
          <w:rFonts w:hint="eastAsia" w:ascii="宋体" w:eastAsia="宋体"/>
          <w:szCs w:val="20"/>
          <w:lang w:val="en-US" w:eastAsia="zh-CN"/>
        </w:rPr>
        <w:t>陆上集控中心SVG楼、GIS楼、主控楼及附属楼电力设备之间及其他必要部分与主地网之间的导通电阻应不大于50mΩ。</w:t>
      </w:r>
      <w:bookmarkEnd w:id="131"/>
    </w:p>
    <w:p>
      <w:pPr>
        <w:pStyle w:val="65"/>
        <w:bidi w:val="0"/>
        <w:rPr>
          <w:rFonts w:hint="eastAsia" w:ascii="宋体" w:eastAsia="宋体"/>
          <w:szCs w:val="20"/>
          <w:lang w:val="en-US" w:eastAsia="zh-CN"/>
        </w:rPr>
      </w:pPr>
      <w:bookmarkStart w:id="132" w:name="_Toc4026"/>
      <w:r>
        <w:rPr>
          <w:rFonts w:hint="eastAsia" w:ascii="宋体" w:eastAsia="宋体"/>
          <w:szCs w:val="20"/>
          <w:lang w:val="en-US" w:eastAsia="zh-CN"/>
        </w:rPr>
        <w:t>陆上集控中心接地网的接地电阻应不大于附录B所计算的最大接地电阻值。</w:t>
      </w:r>
      <w:bookmarkEnd w:id="132"/>
    </w:p>
    <w:p>
      <w:pPr>
        <w:pStyle w:val="104"/>
        <w:bidi w:val="0"/>
        <w:rPr>
          <w:rFonts w:hint="eastAsia"/>
          <w:lang w:val="en-US" w:eastAsia="zh-CN"/>
        </w:rPr>
      </w:pPr>
      <w:bookmarkStart w:id="133" w:name="_Toc23277"/>
      <w:bookmarkStart w:id="134" w:name="_Toc25920"/>
      <w:r>
        <w:rPr>
          <w:rFonts w:hint="eastAsia"/>
        </w:rPr>
        <w:t>检测作业要求和安全措施</w:t>
      </w:r>
      <w:bookmarkEnd w:id="133"/>
      <w:bookmarkEnd w:id="134"/>
    </w:p>
    <w:p>
      <w:pPr>
        <w:pStyle w:val="105"/>
        <w:bidi w:val="0"/>
        <w:rPr>
          <w:rFonts w:hint="eastAsia"/>
          <w:lang w:val="en-US" w:eastAsia="zh-CN"/>
        </w:rPr>
      </w:pPr>
      <w:bookmarkStart w:id="135" w:name="_Toc11252"/>
      <w:bookmarkStart w:id="136" w:name="_Toc31039"/>
      <w:bookmarkStart w:id="137" w:name="_Toc14849"/>
      <w:r>
        <w:rPr>
          <w:rFonts w:hint="eastAsia"/>
          <w:lang w:val="en-US" w:eastAsia="zh-CN"/>
        </w:rPr>
        <w:t>检测作业要求</w:t>
      </w:r>
      <w:bookmarkEnd w:id="135"/>
      <w:bookmarkEnd w:id="136"/>
      <w:bookmarkEnd w:id="137"/>
    </w:p>
    <w:p>
      <w:pPr>
        <w:pStyle w:val="65"/>
        <w:bidi w:val="0"/>
        <w:rPr>
          <w:rFonts w:hint="eastAsia"/>
          <w:lang w:val="en-US" w:eastAsia="zh-CN"/>
        </w:rPr>
      </w:pPr>
      <w:bookmarkStart w:id="138" w:name="_Toc19644"/>
      <w:r>
        <w:rPr>
          <w:rFonts w:hint="eastAsia" w:ascii="宋体" w:eastAsia="宋体"/>
          <w:szCs w:val="20"/>
        </w:rPr>
        <w:t>应具备保障检测人员和设备的安全防护措施，雷雨天应停止检测，攀高危险作业必须遵守攀高作业安全守则。检测仪表、工具等不能放置在高处，防止坠落伤人</w:t>
      </w:r>
      <w:r>
        <w:rPr>
          <w:rFonts w:hint="eastAsia" w:ascii="宋体" w:eastAsia="宋体"/>
          <w:szCs w:val="20"/>
          <w:lang w:eastAsia="zh-CN"/>
        </w:rPr>
        <w:t>。</w:t>
      </w:r>
      <w:bookmarkEnd w:id="138"/>
    </w:p>
    <w:p>
      <w:pPr>
        <w:pStyle w:val="65"/>
        <w:bidi w:val="0"/>
        <w:rPr>
          <w:rFonts w:hint="eastAsia"/>
          <w:lang w:val="en-US" w:eastAsia="zh-CN"/>
        </w:rPr>
      </w:pPr>
      <w:bookmarkStart w:id="139" w:name="_Toc31812"/>
      <w:r>
        <w:rPr>
          <w:rFonts w:hint="eastAsia" w:ascii="宋体" w:eastAsia="宋体"/>
          <w:szCs w:val="20"/>
        </w:rPr>
        <w:t>检测人员应取得防雷检测资格、</w:t>
      </w:r>
      <w:r>
        <w:rPr>
          <w:rFonts w:hint="eastAsia" w:ascii="宋体" w:eastAsia="宋体"/>
          <w:szCs w:val="20"/>
          <w:highlight w:val="none"/>
        </w:rPr>
        <w:t>出海作业证格、高空作业资格证，场区有其他培训要求的，应参加</w:t>
      </w:r>
      <w:r>
        <w:rPr>
          <w:rFonts w:hint="eastAsia" w:ascii="宋体" w:eastAsia="宋体"/>
          <w:szCs w:val="20"/>
          <w:highlight w:val="none"/>
          <w:lang w:val="en-US" w:eastAsia="zh-CN"/>
        </w:rPr>
        <w:t>相应的</w:t>
      </w:r>
      <w:r>
        <w:rPr>
          <w:rFonts w:hint="eastAsia" w:ascii="宋体" w:eastAsia="宋体"/>
          <w:szCs w:val="20"/>
          <w:highlight w:val="none"/>
        </w:rPr>
        <w:t>培训并取得合格资格</w:t>
      </w:r>
      <w:r>
        <w:rPr>
          <w:rFonts w:hint="eastAsia" w:ascii="宋体" w:eastAsia="宋体"/>
          <w:szCs w:val="20"/>
          <w:highlight w:val="none"/>
          <w:lang w:eastAsia="zh-CN"/>
        </w:rPr>
        <w:t>。</w:t>
      </w:r>
      <w:bookmarkEnd w:id="139"/>
    </w:p>
    <w:p>
      <w:pPr>
        <w:pStyle w:val="65"/>
        <w:bidi w:val="0"/>
        <w:rPr>
          <w:rFonts w:hint="eastAsia"/>
          <w:lang w:val="en-US" w:eastAsia="zh-CN"/>
        </w:rPr>
      </w:pPr>
      <w:bookmarkStart w:id="140" w:name="_Toc9827"/>
      <w:r>
        <w:rPr>
          <w:rFonts w:hint="eastAsia" w:ascii="宋体" w:eastAsia="宋体"/>
          <w:szCs w:val="20"/>
        </w:rPr>
        <w:t>检测</w:t>
      </w:r>
      <w:r>
        <w:rPr>
          <w:rFonts w:hint="eastAsia" w:ascii="宋体" w:eastAsia="宋体"/>
          <w:szCs w:val="20"/>
          <w:lang w:val="en-US" w:eastAsia="zh-CN"/>
        </w:rPr>
        <w:t>前应确定</w:t>
      </w:r>
      <w:r>
        <w:rPr>
          <w:rFonts w:hint="eastAsia" w:ascii="宋体" w:eastAsia="宋体"/>
          <w:szCs w:val="20"/>
        </w:rPr>
        <w:t>仪器在检定合格有效使用期内</w:t>
      </w:r>
      <w:r>
        <w:rPr>
          <w:rFonts w:hint="eastAsia" w:ascii="宋体" w:eastAsia="宋体"/>
          <w:szCs w:val="20"/>
          <w:lang w:eastAsia="zh-CN"/>
        </w:rPr>
        <w:t>。</w:t>
      </w:r>
      <w:bookmarkEnd w:id="140"/>
    </w:p>
    <w:p>
      <w:pPr>
        <w:pStyle w:val="105"/>
        <w:bidi w:val="0"/>
        <w:rPr>
          <w:rFonts w:hint="eastAsia"/>
          <w:lang w:val="en-US" w:eastAsia="zh-CN"/>
        </w:rPr>
      </w:pPr>
      <w:bookmarkStart w:id="141" w:name="_Toc4322"/>
      <w:bookmarkStart w:id="142" w:name="_Toc20407"/>
      <w:bookmarkStart w:id="143" w:name="_Toc6612"/>
      <w:r>
        <w:rPr>
          <w:rFonts w:hint="eastAsia"/>
        </w:rPr>
        <w:t>安全措施</w:t>
      </w:r>
      <w:bookmarkEnd w:id="141"/>
      <w:bookmarkEnd w:id="142"/>
      <w:bookmarkEnd w:id="143"/>
    </w:p>
    <w:p>
      <w:pPr>
        <w:pStyle w:val="65"/>
        <w:bidi w:val="0"/>
        <w:rPr>
          <w:rFonts w:hint="eastAsia"/>
          <w:lang w:val="en-US" w:eastAsia="zh-CN"/>
        </w:rPr>
      </w:pPr>
      <w:bookmarkStart w:id="144" w:name="_Toc22088"/>
      <w:r>
        <w:rPr>
          <w:rFonts w:hint="eastAsia" w:ascii="宋体" w:eastAsia="宋体"/>
          <w:szCs w:val="20"/>
        </w:rPr>
        <w:t>检测机构应制定严格的安全管理</w:t>
      </w:r>
      <w:r>
        <w:rPr>
          <w:rFonts w:hint="eastAsia" w:ascii="宋体" w:eastAsia="宋体"/>
          <w:szCs w:val="20"/>
          <w:lang w:val="en-US" w:eastAsia="zh-CN"/>
        </w:rPr>
        <w:t>制度</w:t>
      </w:r>
      <w:r>
        <w:rPr>
          <w:rFonts w:hint="eastAsia" w:ascii="宋体" w:eastAsia="宋体"/>
          <w:szCs w:val="20"/>
        </w:rPr>
        <w:t>和应急制度。</w:t>
      </w:r>
      <w:bookmarkEnd w:id="144"/>
    </w:p>
    <w:p>
      <w:pPr>
        <w:pStyle w:val="65"/>
        <w:bidi w:val="0"/>
        <w:rPr>
          <w:rFonts w:hint="eastAsia"/>
          <w:lang w:val="en-US" w:eastAsia="zh-CN"/>
        </w:rPr>
      </w:pPr>
      <w:bookmarkStart w:id="145" w:name="_Toc22532"/>
      <w:r>
        <w:rPr>
          <w:rFonts w:hint="eastAsia" w:ascii="宋体" w:eastAsia="宋体"/>
          <w:szCs w:val="20"/>
        </w:rPr>
        <w:t>现场检测应严格遵守受检单位的安全规定，</w:t>
      </w:r>
      <w:r>
        <w:rPr>
          <w:rFonts w:hint="eastAsia" w:ascii="宋体" w:eastAsia="宋体"/>
          <w:szCs w:val="20"/>
          <w:highlight w:val="none"/>
        </w:rPr>
        <w:t>接受受检单位安全管理部门的监督，并要求受检单位派员陪同。</w:t>
      </w:r>
      <w:bookmarkEnd w:id="145"/>
    </w:p>
    <w:p>
      <w:pPr>
        <w:pStyle w:val="65"/>
        <w:bidi w:val="0"/>
        <w:rPr>
          <w:rFonts w:hint="eastAsia"/>
          <w:lang w:val="en-US" w:eastAsia="zh-CN"/>
        </w:rPr>
      </w:pPr>
      <w:bookmarkStart w:id="146" w:name="_Toc31543"/>
      <w:r>
        <w:rPr>
          <w:rFonts w:hint="eastAsia" w:ascii="宋体" w:eastAsia="宋体"/>
          <w:szCs w:val="20"/>
        </w:rPr>
        <w:t>检测时，接地电阻测试仪的接地引线和其他导线应避开高、低压供电线路</w:t>
      </w:r>
      <w:r>
        <w:rPr>
          <w:rFonts w:hint="eastAsia" w:ascii="宋体" w:eastAsia="宋体"/>
          <w:szCs w:val="20"/>
          <w:lang w:eastAsia="zh-CN"/>
        </w:rPr>
        <w:t>。</w:t>
      </w:r>
      <w:bookmarkEnd w:id="146"/>
    </w:p>
    <w:p>
      <w:pPr>
        <w:pStyle w:val="65"/>
        <w:bidi w:val="0"/>
        <w:rPr>
          <w:rFonts w:hint="eastAsia"/>
          <w:lang w:val="en-US" w:eastAsia="zh-CN"/>
        </w:rPr>
      </w:pPr>
      <w:bookmarkStart w:id="147" w:name="_Toc28500"/>
      <w:r>
        <w:rPr>
          <w:rFonts w:hint="eastAsia" w:ascii="宋体" w:eastAsia="宋体"/>
          <w:szCs w:val="20"/>
        </w:rPr>
        <w:t>检测需要有</w:t>
      </w:r>
      <w:r>
        <w:rPr>
          <w:rFonts w:hint="eastAsia" w:ascii="宋体" w:eastAsia="宋体"/>
          <w:szCs w:val="20"/>
          <w:highlight w:val="none"/>
        </w:rPr>
        <w:t>2人</w:t>
      </w:r>
      <w:r>
        <w:rPr>
          <w:rFonts w:hint="eastAsia" w:ascii="宋体" w:eastAsia="宋体"/>
          <w:szCs w:val="20"/>
        </w:rPr>
        <w:t>共同进行,每个检测点的检测数据需经复核无误后，填入原始记录表</w:t>
      </w:r>
      <w:r>
        <w:rPr>
          <w:rFonts w:hint="eastAsia" w:ascii="宋体" w:eastAsia="宋体"/>
          <w:szCs w:val="20"/>
          <w:lang w:eastAsia="zh-CN"/>
        </w:rPr>
        <w:t>。</w:t>
      </w:r>
      <w:bookmarkEnd w:id="147"/>
    </w:p>
    <w:p>
      <w:pPr>
        <w:pStyle w:val="65"/>
        <w:bidi w:val="0"/>
        <w:rPr>
          <w:rFonts w:hint="eastAsia"/>
          <w:lang w:val="en-US" w:eastAsia="zh-CN"/>
        </w:rPr>
      </w:pPr>
      <w:bookmarkStart w:id="148" w:name="_Toc13584"/>
      <w:r>
        <w:rPr>
          <w:rFonts w:hint="eastAsia" w:ascii="宋体" w:eastAsia="宋体"/>
          <w:szCs w:val="20"/>
        </w:rPr>
        <w:t>海上检测时，</w:t>
      </w:r>
      <w:r>
        <w:rPr>
          <w:rFonts w:hint="eastAsia" w:ascii="宋体" w:eastAsia="宋体"/>
          <w:szCs w:val="20"/>
          <w:highlight w:val="none"/>
        </w:rPr>
        <w:t>检测人员须穿戴救生衣</w:t>
      </w:r>
      <w:r>
        <w:rPr>
          <w:rFonts w:hint="eastAsia" w:ascii="宋体" w:eastAsia="宋体"/>
          <w:szCs w:val="20"/>
          <w:highlight w:val="none"/>
          <w:lang w:eastAsia="zh-CN"/>
        </w:rPr>
        <w:t>。</w:t>
      </w:r>
      <w:bookmarkEnd w:id="148"/>
    </w:p>
    <w:p>
      <w:pPr>
        <w:pStyle w:val="65"/>
        <w:bidi w:val="0"/>
        <w:rPr>
          <w:rFonts w:hint="eastAsia"/>
          <w:lang w:val="en-US" w:eastAsia="zh-CN"/>
        </w:rPr>
      </w:pPr>
      <w:bookmarkStart w:id="149" w:name="_Toc3097"/>
      <w:r>
        <w:rPr>
          <w:rFonts w:hint="eastAsia" w:ascii="宋体" w:eastAsia="宋体"/>
          <w:szCs w:val="20"/>
        </w:rPr>
        <w:t>在检测配电房、变电所、配电柜的防雷装置时应</w:t>
      </w:r>
      <w:r>
        <w:rPr>
          <w:rFonts w:hint="eastAsia" w:ascii="宋体" w:eastAsia="宋体"/>
          <w:szCs w:val="20"/>
          <w:lang w:val="en-US" w:eastAsia="zh-CN"/>
        </w:rPr>
        <w:t>穿</w:t>
      </w:r>
      <w:r>
        <w:rPr>
          <w:rFonts w:hint="eastAsia" w:ascii="宋体" w:eastAsia="宋体"/>
          <w:szCs w:val="20"/>
        </w:rPr>
        <w:t>着绝缘鞋、绝缘手套，以防电击</w:t>
      </w:r>
      <w:r>
        <w:rPr>
          <w:rFonts w:hint="eastAsia" w:ascii="宋体" w:eastAsia="宋体"/>
          <w:szCs w:val="20"/>
          <w:lang w:eastAsia="zh-CN"/>
        </w:rPr>
        <w:t>。</w:t>
      </w:r>
      <w:bookmarkEnd w:id="149"/>
    </w:p>
    <w:p>
      <w:pPr>
        <w:pStyle w:val="104"/>
        <w:bidi w:val="0"/>
        <w:rPr>
          <w:rFonts w:hint="eastAsia"/>
          <w:lang w:val="en-US" w:eastAsia="zh-CN"/>
        </w:rPr>
      </w:pPr>
      <w:bookmarkStart w:id="150" w:name="_Toc9133"/>
      <w:bookmarkStart w:id="151" w:name="_Toc8950"/>
      <w:r>
        <w:rPr>
          <w:rFonts w:hint="eastAsia"/>
          <w:lang w:val="en-US" w:eastAsia="zh-CN"/>
        </w:rPr>
        <w:t>检测数据处理</w:t>
      </w:r>
      <w:bookmarkEnd w:id="150"/>
      <w:bookmarkEnd w:id="151"/>
    </w:p>
    <w:p>
      <w:pPr>
        <w:pStyle w:val="105"/>
        <w:bidi w:val="0"/>
        <w:rPr>
          <w:rFonts w:hint="eastAsia"/>
          <w:lang w:val="en-US" w:eastAsia="zh-CN"/>
        </w:rPr>
      </w:pPr>
      <w:bookmarkStart w:id="152" w:name="_Toc7860"/>
      <w:bookmarkStart w:id="153" w:name="_Toc22261"/>
      <w:bookmarkStart w:id="154" w:name="_Toc3174"/>
      <w:r>
        <w:rPr>
          <w:rFonts w:hint="eastAsia" w:ascii="宋体" w:eastAsia="宋体"/>
          <w:szCs w:val="20"/>
        </w:rPr>
        <w:t>在现场将各项检测结果如实记入原始记录表,</w:t>
      </w:r>
      <w:r>
        <w:rPr>
          <w:rFonts w:hint="eastAsia" w:ascii="宋体" w:eastAsia="宋体"/>
          <w:szCs w:val="20"/>
          <w:highlight w:val="none"/>
        </w:rPr>
        <w:t>原始记录表应有检测人员、校核人员和</w:t>
      </w:r>
      <w:r>
        <w:rPr>
          <w:rFonts w:hint="eastAsia" w:ascii="宋体" w:eastAsia="宋体"/>
          <w:szCs w:val="20"/>
          <w:highlight w:val="none"/>
          <w:lang w:val="en-US" w:eastAsia="zh-CN"/>
        </w:rPr>
        <w:t>受检单位</w:t>
      </w:r>
      <w:r>
        <w:rPr>
          <w:rFonts w:hint="eastAsia" w:ascii="宋体" w:eastAsia="宋体"/>
          <w:szCs w:val="20"/>
          <w:highlight w:val="none"/>
        </w:rPr>
        <w:t>现场负责人签名</w:t>
      </w:r>
      <w:r>
        <w:rPr>
          <w:rFonts w:hint="eastAsia" w:ascii="宋体" w:eastAsia="宋体"/>
          <w:color w:val="auto"/>
          <w:szCs w:val="20"/>
          <w:highlight w:val="none"/>
        </w:rPr>
        <w:t>。原始记录表应作为用户档案保存两年</w:t>
      </w:r>
      <w:r>
        <w:rPr>
          <w:rFonts w:hint="eastAsia" w:ascii="宋体" w:eastAsia="宋体"/>
          <w:color w:val="auto"/>
          <w:szCs w:val="20"/>
          <w:highlight w:val="none"/>
          <w:lang w:eastAsia="zh-CN"/>
        </w:rPr>
        <w:t>。</w:t>
      </w:r>
      <w:bookmarkEnd w:id="152"/>
      <w:bookmarkEnd w:id="153"/>
      <w:bookmarkEnd w:id="154"/>
    </w:p>
    <w:p>
      <w:pPr>
        <w:pStyle w:val="105"/>
        <w:bidi w:val="0"/>
        <w:rPr>
          <w:rFonts w:hint="eastAsia"/>
          <w:lang w:val="en-US" w:eastAsia="zh-CN"/>
        </w:rPr>
      </w:pPr>
      <w:bookmarkStart w:id="155" w:name="_Toc24962"/>
      <w:bookmarkStart w:id="156" w:name="_Toc43"/>
      <w:bookmarkStart w:id="157" w:name="_Toc26199"/>
      <w:r>
        <w:rPr>
          <w:rFonts w:hint="eastAsia" w:ascii="宋体" w:eastAsia="宋体"/>
          <w:szCs w:val="20"/>
        </w:rPr>
        <w:t>检测时，应绘制建筑物防雷装置平面示意图，后续检测时应进行补充或修改</w:t>
      </w:r>
      <w:r>
        <w:rPr>
          <w:rFonts w:hint="eastAsia" w:ascii="宋体" w:eastAsia="宋体"/>
          <w:szCs w:val="20"/>
          <w:lang w:eastAsia="zh-CN"/>
        </w:rPr>
        <w:t>。</w:t>
      </w:r>
      <w:bookmarkEnd w:id="155"/>
      <w:bookmarkEnd w:id="156"/>
      <w:bookmarkEnd w:id="157"/>
    </w:p>
    <w:p>
      <w:pPr>
        <w:pStyle w:val="105"/>
        <w:bidi w:val="0"/>
        <w:rPr>
          <w:rFonts w:hint="eastAsia"/>
          <w:lang w:val="en-US" w:eastAsia="zh-CN"/>
        </w:rPr>
      </w:pPr>
      <w:bookmarkStart w:id="158" w:name="_Toc19708"/>
      <w:bookmarkStart w:id="159" w:name="_Toc9741"/>
      <w:bookmarkStart w:id="160" w:name="_Toc24207"/>
      <w:r>
        <w:rPr>
          <w:rFonts w:hint="eastAsia" w:ascii="宋体" w:eastAsia="宋体"/>
          <w:szCs w:val="20"/>
        </w:rPr>
        <w:t>整理各</w:t>
      </w:r>
      <w:r>
        <w:rPr>
          <w:rFonts w:hint="eastAsia" w:ascii="宋体" w:eastAsia="宋体"/>
          <w:szCs w:val="20"/>
          <w:lang w:val="en-US" w:eastAsia="zh-CN"/>
        </w:rPr>
        <w:t>项目的</w:t>
      </w:r>
      <w:r>
        <w:rPr>
          <w:rFonts w:hint="eastAsia" w:ascii="宋体" w:eastAsia="宋体"/>
          <w:szCs w:val="20"/>
        </w:rPr>
        <w:t>检测结果</w:t>
      </w:r>
      <w:r>
        <w:rPr>
          <w:rFonts w:hint="eastAsia" w:ascii="宋体" w:eastAsia="宋体"/>
          <w:szCs w:val="20"/>
          <w:lang w:eastAsia="zh-CN"/>
        </w:rPr>
        <w:t>，</w:t>
      </w:r>
      <w:r>
        <w:rPr>
          <w:rFonts w:hint="eastAsia" w:ascii="宋体" w:eastAsia="宋体"/>
          <w:szCs w:val="20"/>
        </w:rPr>
        <w:t>与相应的</w:t>
      </w:r>
      <w:r>
        <w:rPr>
          <w:rFonts w:hint="eastAsia" w:ascii="宋体" w:eastAsia="宋体"/>
          <w:szCs w:val="20"/>
          <w:lang w:val="en-US" w:eastAsia="zh-CN"/>
        </w:rPr>
        <w:t>规范</w:t>
      </w:r>
      <w:r>
        <w:rPr>
          <w:rFonts w:hint="eastAsia" w:ascii="宋体" w:eastAsia="宋体"/>
          <w:szCs w:val="20"/>
        </w:rPr>
        <w:t>技术要求进行</w:t>
      </w:r>
      <w:r>
        <w:rPr>
          <w:rFonts w:hint="eastAsia" w:ascii="宋体" w:eastAsia="宋体"/>
          <w:szCs w:val="20"/>
          <w:lang w:val="en-US" w:eastAsia="zh-CN"/>
        </w:rPr>
        <w:t>对比</w:t>
      </w:r>
      <w:r>
        <w:rPr>
          <w:rFonts w:hint="eastAsia" w:ascii="宋体" w:eastAsia="宋体"/>
          <w:szCs w:val="20"/>
        </w:rPr>
        <w:t>,判定各检测项目是否合格</w:t>
      </w:r>
      <w:r>
        <w:rPr>
          <w:rFonts w:hint="eastAsia" w:ascii="宋体" w:eastAsia="宋体"/>
          <w:szCs w:val="20"/>
          <w:lang w:eastAsia="zh-CN"/>
        </w:rPr>
        <w:t>。</w:t>
      </w:r>
      <w:bookmarkEnd w:id="158"/>
      <w:bookmarkEnd w:id="159"/>
      <w:bookmarkEnd w:id="160"/>
    </w:p>
    <w:p>
      <w:pPr>
        <w:pStyle w:val="104"/>
        <w:bidi w:val="0"/>
        <w:rPr>
          <w:rFonts w:hint="eastAsia"/>
          <w:lang w:val="en-US" w:eastAsia="zh-CN"/>
        </w:rPr>
      </w:pPr>
      <w:bookmarkStart w:id="161" w:name="_Toc26963"/>
      <w:bookmarkStart w:id="162" w:name="_Toc15497"/>
      <w:r>
        <w:rPr>
          <w:rFonts w:hint="eastAsia"/>
        </w:rPr>
        <w:t>防雷装置检测报告</w:t>
      </w:r>
      <w:bookmarkEnd w:id="161"/>
      <w:bookmarkEnd w:id="162"/>
    </w:p>
    <w:p>
      <w:pPr>
        <w:pStyle w:val="105"/>
        <w:bidi w:val="0"/>
        <w:rPr>
          <w:rFonts w:hint="eastAsia"/>
          <w:lang w:val="en-US" w:eastAsia="zh-CN"/>
        </w:rPr>
      </w:pPr>
      <w:bookmarkStart w:id="163" w:name="_Toc18599"/>
      <w:bookmarkStart w:id="164" w:name="_Toc32158"/>
      <w:bookmarkStart w:id="165" w:name="_Toc20469"/>
      <w:r>
        <w:rPr>
          <w:rFonts w:hint="eastAsia" w:ascii="宋体" w:eastAsia="宋体"/>
          <w:szCs w:val="20"/>
        </w:rPr>
        <w:t>检测报告由检测员按</w:t>
      </w:r>
      <w:r>
        <w:rPr>
          <w:rFonts w:hint="eastAsia" w:ascii="宋体" w:eastAsia="宋体"/>
          <w:szCs w:val="20"/>
          <w:lang w:val="en-US" w:eastAsia="zh-CN"/>
        </w:rPr>
        <w:t>规范</w:t>
      </w:r>
      <w:r>
        <w:rPr>
          <w:rFonts w:hint="eastAsia" w:ascii="宋体" w:eastAsia="宋体"/>
          <w:szCs w:val="20"/>
        </w:rPr>
        <w:t>填写，检测员和校核员签字后，经技术负责人签发，</w:t>
      </w:r>
      <w:r>
        <w:rPr>
          <w:rFonts w:hint="eastAsia" w:ascii="宋体" w:eastAsia="宋体"/>
          <w:szCs w:val="20"/>
          <w:lang w:val="en-US" w:eastAsia="zh-CN"/>
        </w:rPr>
        <w:t>并</w:t>
      </w:r>
      <w:r>
        <w:rPr>
          <w:rFonts w:hint="eastAsia" w:ascii="宋体" w:eastAsia="宋体"/>
          <w:szCs w:val="20"/>
        </w:rPr>
        <w:t>加盖检测单位公章</w:t>
      </w:r>
      <w:r>
        <w:rPr>
          <w:rFonts w:hint="eastAsia" w:ascii="宋体" w:eastAsia="宋体"/>
          <w:szCs w:val="20"/>
          <w:lang w:eastAsia="zh-CN"/>
        </w:rPr>
        <w:t>。</w:t>
      </w:r>
      <w:bookmarkEnd w:id="163"/>
      <w:bookmarkEnd w:id="164"/>
      <w:bookmarkEnd w:id="165"/>
    </w:p>
    <w:p>
      <w:pPr>
        <w:pStyle w:val="105"/>
        <w:bidi w:val="0"/>
        <w:rPr>
          <w:rFonts w:hint="eastAsia"/>
          <w:lang w:val="en-US" w:eastAsia="zh-CN"/>
        </w:rPr>
      </w:pPr>
      <w:bookmarkStart w:id="166" w:name="_Toc24580"/>
      <w:bookmarkStart w:id="167" w:name="_Toc5619"/>
      <w:bookmarkStart w:id="168" w:name="_Toc24080"/>
      <w:r>
        <w:rPr>
          <w:rFonts w:hint="eastAsia" w:ascii="宋体" w:eastAsia="宋体"/>
          <w:szCs w:val="20"/>
          <w:lang w:val="en-US" w:eastAsia="zh-CN"/>
        </w:rPr>
        <w:t>纸质</w:t>
      </w:r>
      <w:r>
        <w:rPr>
          <w:rFonts w:hint="eastAsia" w:ascii="宋体" w:eastAsia="宋体"/>
          <w:szCs w:val="20"/>
          <w:highlight w:val="none"/>
        </w:rPr>
        <w:t>检测报告一式</w:t>
      </w:r>
      <w:r>
        <w:rPr>
          <w:rFonts w:hint="eastAsia" w:ascii="宋体" w:eastAsia="宋体"/>
          <w:szCs w:val="20"/>
          <w:highlight w:val="none"/>
          <w:lang w:val="en-US" w:eastAsia="zh-CN"/>
        </w:rPr>
        <w:t>两</w:t>
      </w:r>
      <w:r>
        <w:rPr>
          <w:rFonts w:hint="eastAsia" w:ascii="宋体" w:eastAsia="宋体"/>
          <w:szCs w:val="20"/>
          <w:highlight w:val="none"/>
        </w:rPr>
        <w:t>份</w:t>
      </w:r>
      <w:r>
        <w:rPr>
          <w:rFonts w:hint="eastAsia" w:ascii="宋体" w:eastAsia="宋体"/>
          <w:szCs w:val="20"/>
        </w:rPr>
        <w:t>，一份由检测单位存档</w:t>
      </w:r>
      <w:r>
        <w:rPr>
          <w:rFonts w:hint="eastAsia" w:ascii="宋体" w:eastAsia="宋体"/>
          <w:szCs w:val="20"/>
          <w:lang w:eastAsia="zh-CN"/>
        </w:rPr>
        <w:t>，</w:t>
      </w:r>
      <w:r>
        <w:rPr>
          <w:rFonts w:hint="eastAsia" w:ascii="宋体" w:eastAsia="宋体"/>
          <w:szCs w:val="20"/>
        </w:rPr>
        <w:t>一份</w:t>
      </w:r>
      <w:r>
        <w:rPr>
          <w:rFonts w:hint="eastAsia" w:ascii="宋体" w:eastAsia="宋体"/>
          <w:szCs w:val="20"/>
          <w:lang w:val="en-US" w:eastAsia="zh-CN"/>
        </w:rPr>
        <w:t>移交</w:t>
      </w:r>
      <w:r>
        <w:rPr>
          <w:rFonts w:hint="eastAsia" w:ascii="宋体" w:eastAsia="宋体"/>
          <w:szCs w:val="20"/>
        </w:rPr>
        <w:t>受检单位。存档</w:t>
      </w:r>
      <w:r>
        <w:rPr>
          <w:rFonts w:hint="eastAsia" w:ascii="宋体" w:eastAsia="宋体"/>
          <w:szCs w:val="20"/>
          <w:lang w:val="en-US" w:eastAsia="zh-CN"/>
        </w:rPr>
        <w:t>形式</w:t>
      </w:r>
      <w:r>
        <w:rPr>
          <w:rFonts w:hint="eastAsia" w:ascii="宋体" w:eastAsia="宋体"/>
          <w:szCs w:val="20"/>
        </w:rPr>
        <w:t>应有</w:t>
      </w:r>
      <w:r>
        <w:rPr>
          <w:rFonts w:hint="eastAsia" w:ascii="宋体" w:eastAsia="宋体"/>
          <w:szCs w:val="20"/>
          <w:lang w:val="en-US" w:eastAsia="zh-CN"/>
        </w:rPr>
        <w:t>纸质存档</w:t>
      </w:r>
      <w:r>
        <w:rPr>
          <w:rFonts w:hint="eastAsia" w:ascii="宋体" w:eastAsia="宋体"/>
          <w:szCs w:val="20"/>
        </w:rPr>
        <w:t>和计算机存档</w:t>
      </w:r>
      <w:r>
        <w:rPr>
          <w:rFonts w:hint="eastAsia" w:ascii="宋体" w:eastAsia="宋体"/>
          <w:szCs w:val="20"/>
          <w:lang w:eastAsia="zh-CN"/>
        </w:rPr>
        <w:t>。</w:t>
      </w:r>
      <w:bookmarkEnd w:id="166"/>
      <w:bookmarkEnd w:id="167"/>
      <w:bookmarkEnd w:id="168"/>
    </w:p>
    <w:p>
      <w:pPr>
        <w:pStyle w:val="56"/>
        <w:rPr>
          <w:rFonts w:hint="eastAsia"/>
          <w:highlight w:val="none"/>
          <w:lang w:val="en-US" w:eastAsia="zh-CN"/>
        </w:rPr>
      </w:pPr>
    </w:p>
    <w:p>
      <w:pPr>
        <w:pStyle w:val="56"/>
        <w:rPr>
          <w:rFonts w:hint="eastAsia"/>
          <w:lang w:val="en-US" w:eastAsia="zh-CN"/>
        </w:rPr>
        <w:sectPr>
          <w:pgSz w:w="11906" w:h="16838"/>
          <w:pgMar w:top="1928" w:right="1134" w:bottom="1134" w:left="1134" w:header="1418" w:footer="1134" w:gutter="284"/>
          <w:pgNumType w:fmt="decimal"/>
          <w:cols w:space="425" w:num="1"/>
          <w:formProt w:val="0"/>
          <w:docGrid w:type="lines" w:linePitch="312" w:charSpace="0"/>
        </w:sectPr>
      </w:pPr>
    </w:p>
    <w:bookmarkEnd w:id="26"/>
    <w:p>
      <w:pPr>
        <w:pStyle w:val="198"/>
        <w:bidi w:val="0"/>
        <w:rPr>
          <w:rFonts w:hint="eastAsia"/>
          <w:lang w:val="en-US" w:eastAsia="zh-CN"/>
        </w:rPr>
      </w:pPr>
      <w:bookmarkStart w:id="169" w:name="BookMark5"/>
    </w:p>
    <w:p>
      <w:pPr>
        <w:pStyle w:val="199"/>
        <w:bidi w:val="0"/>
        <w:rPr>
          <w:rFonts w:hint="eastAsia"/>
          <w:lang w:val="en-US" w:eastAsia="zh-CN"/>
        </w:rPr>
      </w:pPr>
    </w:p>
    <w:p>
      <w:pPr>
        <w:pStyle w:val="76"/>
        <w:bidi w:val="0"/>
        <w:rPr>
          <w:rFonts w:hint="eastAsia"/>
          <w:lang w:val="en-US" w:eastAsia="zh-CN"/>
        </w:rPr>
      </w:pPr>
      <w:bookmarkStart w:id="170" w:name="_Toc21082"/>
      <w:bookmarkStart w:id="171" w:name="_Toc16034"/>
      <w:r>
        <w:rPr>
          <w:rFonts w:hint="eastAsia"/>
          <w:lang w:val="en-US" w:eastAsia="zh-CN"/>
        </w:rPr>
        <w:br w:type="textWrapping"/>
      </w:r>
      <w:r>
        <w:rPr>
          <w:rFonts w:hint="eastAsia"/>
          <w:lang w:val="en-US" w:eastAsia="zh-CN"/>
        </w:rPr>
        <w:t>（规范性）</w:t>
      </w:r>
      <w:r>
        <w:rPr>
          <w:rFonts w:hint="eastAsia"/>
          <w:lang w:val="en-US" w:eastAsia="zh-CN"/>
        </w:rPr>
        <w:br w:type="textWrapping"/>
      </w:r>
      <w:r>
        <w:rPr>
          <w:rFonts w:hint="eastAsia"/>
          <w:lang w:val="en-US" w:eastAsia="zh-CN"/>
        </w:rPr>
        <w:t>接地电阻测量方法</w:t>
      </w:r>
      <w:bookmarkEnd w:id="170"/>
      <w:bookmarkEnd w:id="171"/>
    </w:p>
    <w:p>
      <w:pPr>
        <w:pStyle w:val="56"/>
        <w:bidi w:val="0"/>
        <w:rPr>
          <w:rFonts w:hint="eastAsia"/>
          <w:lang w:val="en-US" w:eastAsia="zh-CN"/>
        </w:rPr>
      </w:pPr>
    </w:p>
    <w:p>
      <w:pPr>
        <w:pStyle w:val="78"/>
        <w:bidi w:val="0"/>
        <w:rPr>
          <w:rFonts w:hint="eastAsia"/>
          <w:lang w:val="en-US" w:eastAsia="zh-CN"/>
        </w:rPr>
      </w:pPr>
      <w:bookmarkStart w:id="172" w:name="_Toc8767"/>
      <w:bookmarkStart w:id="173" w:name="_Toc11229"/>
      <w:bookmarkStart w:id="174" w:name="_Toc12116"/>
      <w:r>
        <w:rPr>
          <w:rFonts w:hint="default"/>
          <w:lang w:val="en-US" w:eastAsia="zh-CN"/>
        </w:rPr>
        <w:t>接地电阻测量方法</w:t>
      </w:r>
      <w:bookmarkEnd w:id="172"/>
      <w:bookmarkEnd w:id="173"/>
      <w:bookmarkEnd w:id="174"/>
    </w:p>
    <w:p>
      <w:pPr>
        <w:pStyle w:val="56"/>
        <w:rPr>
          <w:rFonts w:hint="eastAsia"/>
          <w:lang w:val="en-US" w:eastAsia="zh-CN"/>
        </w:rPr>
      </w:pPr>
      <w:r>
        <w:rPr>
          <w:rFonts w:hint="eastAsia"/>
          <w:lang w:val="en-US" w:eastAsia="zh-CN"/>
        </w:rPr>
        <w:t>接地装置接地电阻的测量应采用三极法。</w:t>
      </w:r>
    </w:p>
    <w:p>
      <w:pPr>
        <w:pStyle w:val="56"/>
        <w:rPr>
          <w:rFonts w:hint="eastAsia"/>
          <w:lang w:val="en-US" w:eastAsia="zh-CN"/>
        </w:rPr>
      </w:pPr>
      <w:r>
        <w:rPr>
          <w:rFonts w:hint="eastAsia"/>
          <w:lang w:val="en-US" w:eastAsia="zh-CN"/>
        </w:rPr>
        <w:t xml:space="preserve">接地装置接地电阻的数值,等于接地装置的对地电压与通过接地装置流入地中的工频电流的比值。 </w:t>
      </w:r>
    </w:p>
    <w:p>
      <w:pPr>
        <w:pStyle w:val="56"/>
        <w:rPr>
          <w:rFonts w:hint="eastAsia"/>
          <w:lang w:val="en-US" w:eastAsia="zh-CN"/>
        </w:rPr>
      </w:pPr>
      <w:r>
        <w:rPr>
          <w:rFonts w:hint="eastAsia"/>
          <w:lang w:val="en-US" w:eastAsia="zh-CN"/>
        </w:rPr>
        <w:t xml:space="preserve">接地装置的对地电压是指接地装置与地中电流场的实际零位区之间的电位差。 </w:t>
      </w:r>
    </w:p>
    <w:p>
      <w:pPr>
        <w:pStyle w:val="78"/>
        <w:bidi w:val="0"/>
        <w:rPr>
          <w:rFonts w:hint="eastAsia"/>
          <w:lang w:val="en-US" w:eastAsia="zh-CN"/>
        </w:rPr>
      </w:pPr>
      <w:bookmarkStart w:id="175" w:name="_Toc16475"/>
      <w:bookmarkStart w:id="176" w:name="_Toc25853"/>
      <w:bookmarkStart w:id="177" w:name="_Toc1627"/>
      <w:r>
        <w:rPr>
          <w:rFonts w:hint="eastAsia"/>
          <w:lang w:val="en-US" w:eastAsia="zh-CN"/>
        </w:rPr>
        <w:t>电极布置</w:t>
      </w:r>
      <w:bookmarkEnd w:id="175"/>
      <w:bookmarkEnd w:id="176"/>
      <w:bookmarkEnd w:id="177"/>
    </w:p>
    <w:p>
      <w:pPr>
        <w:pStyle w:val="56"/>
        <w:bidi w:val="0"/>
        <w:rPr>
          <w:rFonts w:hint="eastAsia"/>
          <w:lang w:val="en-US" w:eastAsia="zh-CN"/>
        </w:rPr>
      </w:pPr>
      <w:r>
        <w:rPr>
          <w:rFonts w:hint="eastAsia"/>
          <w:lang w:val="en-US" w:eastAsia="zh-CN"/>
        </w:rPr>
        <w:t>采用三极法测量接地电阻,电极可采用三角形布置。</w:t>
      </w:r>
    </w:p>
    <w:p>
      <w:pPr>
        <w:pStyle w:val="56"/>
        <w:bidi w:val="0"/>
        <w:rPr>
          <w:rFonts w:hint="eastAsia"/>
          <w:lang w:val="en-US" w:eastAsia="zh-CN"/>
        </w:rPr>
      </w:pPr>
      <w:r>
        <w:rPr>
          <w:rFonts w:hint="eastAsia"/>
          <w:lang w:val="en-US" w:eastAsia="zh-CN"/>
        </w:rPr>
        <w:t>电流极、电压极布线方案,见图 A.1</w:t>
      </w:r>
    </w:p>
    <w:p>
      <w:pPr>
        <w:pStyle w:val="56"/>
        <w:bidi w:val="0"/>
        <w:ind w:left="420" w:leftChars="200" w:firstLine="0" w:firstLineChars="0"/>
        <w:rPr>
          <w:rFonts w:hint="eastAsia"/>
          <w:lang w:val="en-US" w:eastAsia="zh-CN"/>
        </w:rPr>
      </w:pPr>
      <w:r>
        <w:rPr>
          <w:rFonts w:hint="eastAsia"/>
          <w:lang w:val="en-US" w:eastAsia="zh-CN"/>
        </w:rPr>
        <w:t xml:space="preserve">1、海上待测物（F）利用相邻海上待测物（F1）或海上升压站作为电压极进行布线，再选择合适角度的相海上待测物（F2）作为电流极布线，电流极与电压极引线的夹角≈30°。F1与F的距离为d12, </w:t>
      </w:r>
    </w:p>
    <w:p>
      <w:pPr>
        <w:pStyle w:val="56"/>
        <w:bidi w:val="0"/>
        <w:rPr>
          <w:rFonts w:hint="eastAsia"/>
          <w:lang w:val="en-US" w:eastAsia="zh-CN"/>
        </w:rPr>
      </w:pPr>
      <w:r>
        <w:rPr>
          <w:rFonts w:hint="eastAsia"/>
          <w:lang w:val="en-US" w:eastAsia="zh-CN"/>
        </w:rPr>
        <w:t>F2与F的距离为d13，一般取d12=d13≥2D,夹角≈30°,D 为待测风机（F）接地网最大对角线长度。</w:t>
      </w:r>
    </w:p>
    <w:p>
      <w:pPr>
        <w:pStyle w:val="56"/>
        <w:bidi w:val="0"/>
        <w:rPr>
          <w:rFonts w:hint="eastAsia"/>
          <w:lang w:val="en-US" w:eastAsia="zh-CN"/>
        </w:rPr>
      </w:pPr>
      <w:r>
        <w:rPr>
          <w:rFonts w:hint="eastAsia"/>
          <w:lang w:val="en-US" w:eastAsia="zh-CN"/>
        </w:rPr>
        <w:t xml:space="preserve">2、因海浪影响，布线线线径宜≥10mm。 </w:t>
      </w:r>
    </w:p>
    <w:p>
      <w:pPr>
        <w:pStyle w:val="56"/>
        <w:bidi w:val="0"/>
        <w:rPr>
          <w:rFonts w:hint="eastAsia"/>
          <w:lang w:val="en-US" w:eastAsia="zh-CN"/>
        </w:rPr>
      </w:pPr>
      <w:r>
        <w:rPr>
          <w:rFonts w:hint="eastAsia"/>
          <w:lang w:val="en-US" w:eastAsia="zh-CN"/>
        </w:rPr>
        <w:t>3、F、F1、F2可相互替换为待测物。</w:t>
      </w:r>
    </w:p>
    <w:p>
      <w:pPr>
        <w:pStyle w:val="56"/>
        <w:bidi w:val="0"/>
        <w:rPr>
          <w:rFonts w:hint="eastAsia"/>
          <w:lang w:val="en-US" w:eastAsia="zh-CN"/>
        </w:rPr>
      </w:pPr>
      <w:r>
        <w:rPr>
          <w:rFonts w:hint="eastAsia"/>
          <w:lang w:val="en-US" w:eastAsia="zh-CN"/>
        </w:rPr>
        <w:t>接地电阻值应不大于设计要求,如无特殊规定,单台机组的接地电阻值应不大于设计值。</w:t>
      </w:r>
    </w:p>
    <w:p>
      <w:pPr>
        <w:pStyle w:val="56"/>
        <w:bidi w:val="0"/>
        <w:rPr>
          <w:rFonts w:hint="eastAsia"/>
          <w:lang w:val="en-US" w:eastAsia="zh-CN"/>
        </w:rPr>
      </w:pPr>
    </w:p>
    <w:p>
      <w:pPr>
        <w:pStyle w:val="56"/>
        <w:bidi w:val="0"/>
        <w:jc w:val="center"/>
      </w:pPr>
      <w:r>
        <w:drawing>
          <wp:inline distT="0" distB="0" distL="114300" distR="114300">
            <wp:extent cx="4011930" cy="2445385"/>
            <wp:effectExtent l="0" t="0" r="11430" b="8255"/>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16"/>
                    <a:stretch>
                      <a:fillRect/>
                    </a:stretch>
                  </pic:blipFill>
                  <pic:spPr>
                    <a:xfrm>
                      <a:off x="0" y="0"/>
                      <a:ext cx="4011930" cy="2445385"/>
                    </a:xfrm>
                    <a:prstGeom prst="rect">
                      <a:avLst/>
                    </a:prstGeom>
                    <a:noFill/>
                    <a:ln>
                      <a:noFill/>
                    </a:ln>
                  </pic:spPr>
                </pic:pic>
              </a:graphicData>
            </a:graphic>
          </wp:inline>
        </w:drawing>
      </w:r>
    </w:p>
    <w:p>
      <w:pPr>
        <w:pStyle w:val="83"/>
        <w:bidi w:val="0"/>
        <w:rPr>
          <w:rFonts w:hint="eastAsia"/>
          <w:lang w:val="en-US" w:eastAsia="zh-CN"/>
        </w:rPr>
      </w:pPr>
      <w:r>
        <w:rPr>
          <w:rFonts w:hint="eastAsia"/>
          <w:lang w:val="en-US" w:eastAsia="zh-CN"/>
        </w:rPr>
        <w:t>三角形布置</w:t>
      </w:r>
    </w:p>
    <w:p>
      <w:pPr>
        <w:pStyle w:val="78"/>
        <w:bidi w:val="0"/>
        <w:rPr>
          <w:rFonts w:hint="eastAsia"/>
          <w:lang w:val="en-US" w:eastAsia="zh-CN"/>
        </w:rPr>
      </w:pPr>
      <w:bookmarkStart w:id="178" w:name="_Toc30044"/>
      <w:bookmarkStart w:id="179" w:name="_Toc4928"/>
      <w:bookmarkStart w:id="180" w:name="_Toc25763"/>
      <w:r>
        <w:rPr>
          <w:rFonts w:hint="eastAsia"/>
          <w:lang w:val="en-US" w:eastAsia="zh-CN"/>
        </w:rPr>
        <w:t>测量注意事项</w:t>
      </w:r>
      <w:bookmarkEnd w:id="178"/>
      <w:bookmarkEnd w:id="179"/>
      <w:bookmarkEnd w:id="180"/>
    </w:p>
    <w:p>
      <w:pPr>
        <w:pStyle w:val="56"/>
        <w:rPr>
          <w:rFonts w:hint="default" w:ascii="FZSSK--GBK1-0" w:hAnsi="FZSSK--GBK1-0" w:eastAsia="FZSSK--GBK1-0" w:cs="FZSSK--GBK1-0"/>
          <w:color w:val="000000"/>
          <w:kern w:val="0"/>
          <w:sz w:val="19"/>
          <w:szCs w:val="19"/>
          <w:lang w:val="en-US" w:eastAsia="zh-CN" w:bidi="ar"/>
        </w:rPr>
      </w:pPr>
      <w:r>
        <w:rPr>
          <w:rFonts w:hint="default" w:ascii="FZSSK--GBK1-0" w:hAnsi="FZSSK--GBK1-0" w:eastAsia="FZSSK--GBK1-0" w:cs="FZSSK--GBK1-0"/>
          <w:color w:val="000000"/>
          <w:kern w:val="0"/>
          <w:sz w:val="19"/>
          <w:szCs w:val="19"/>
          <w:lang w:val="en-US" w:eastAsia="zh-CN" w:bidi="ar"/>
        </w:rPr>
        <w:t>测量接地电阻时应注意:</w:t>
      </w:r>
    </w:p>
    <w:p>
      <w:pPr>
        <w:pStyle w:val="132"/>
        <w:bidi w:val="0"/>
        <w:rPr>
          <w:rFonts w:hint="eastAsia"/>
          <w:lang w:val="en-US" w:eastAsia="zh-CN"/>
        </w:rPr>
      </w:pPr>
      <w:r>
        <w:rPr>
          <w:rFonts w:hint="eastAsia" w:ascii="宋体" w:hAnsi="宋体" w:eastAsia="宋体" w:cs="宋体"/>
          <w:color w:val="000000"/>
          <w:kern w:val="0"/>
          <w:sz w:val="19"/>
          <w:szCs w:val="19"/>
          <w:lang w:val="en-US" w:eastAsia="zh-CN" w:bidi="ar"/>
        </w:rPr>
        <w:t>测量时接地装置应与基础环断开</w:t>
      </w:r>
      <w:r>
        <w:rPr>
          <w:rFonts w:hint="eastAsia" w:hAnsi="宋体" w:cs="宋体"/>
          <w:color w:val="000000"/>
          <w:kern w:val="0"/>
          <w:sz w:val="19"/>
          <w:szCs w:val="19"/>
          <w:lang w:val="en-US" w:eastAsia="zh-CN" w:bidi="ar"/>
        </w:rPr>
        <w:t>；</w:t>
      </w:r>
    </w:p>
    <w:p>
      <w:pPr>
        <w:pStyle w:val="132"/>
        <w:bidi w:val="0"/>
        <w:rPr>
          <w:rFonts w:hint="eastAsia"/>
          <w:lang w:val="en-US" w:eastAsia="zh-CN"/>
        </w:rPr>
      </w:pPr>
      <w:r>
        <w:rPr>
          <w:rFonts w:hint="eastAsia" w:ascii="宋体" w:hAnsi="宋体" w:eastAsia="宋体" w:cs="宋体"/>
          <w:color w:val="000000"/>
          <w:kern w:val="0"/>
          <w:sz w:val="19"/>
          <w:szCs w:val="19"/>
          <w:lang w:val="en-US" w:eastAsia="zh-CN" w:bidi="ar"/>
        </w:rPr>
        <w:t>电流极、电压极应布置合理</w:t>
      </w:r>
      <w:r>
        <w:rPr>
          <w:rFonts w:hint="eastAsia" w:hAnsi="宋体" w:cs="宋体"/>
          <w:color w:val="000000"/>
          <w:kern w:val="0"/>
          <w:sz w:val="19"/>
          <w:szCs w:val="19"/>
          <w:lang w:val="en-US" w:eastAsia="zh-CN" w:bidi="ar"/>
        </w:rPr>
        <w:t>；</w:t>
      </w:r>
    </w:p>
    <w:p>
      <w:pPr>
        <w:pStyle w:val="132"/>
        <w:bidi w:val="0"/>
        <w:rPr>
          <w:rFonts w:hint="eastAsia" w:ascii="宋体" w:hAnsi="宋体" w:eastAsia="宋体" w:cs="宋体"/>
          <w:color w:val="000000"/>
          <w:kern w:val="0"/>
          <w:sz w:val="19"/>
          <w:szCs w:val="19"/>
          <w:lang w:val="en-US" w:eastAsia="zh-CN" w:bidi="ar"/>
        </w:rPr>
      </w:pPr>
      <w:r>
        <w:rPr>
          <w:rFonts w:hint="eastAsia" w:ascii="宋体" w:hAnsi="宋体" w:eastAsia="宋体" w:cs="宋体"/>
          <w:color w:val="000000"/>
          <w:kern w:val="0"/>
          <w:sz w:val="19"/>
          <w:szCs w:val="19"/>
          <w:lang w:val="en-US" w:eastAsia="zh-CN" w:bidi="ar"/>
        </w:rPr>
        <w:t>应避免在雨后立即测量接地电阻；</w:t>
      </w:r>
    </w:p>
    <w:p>
      <w:pPr>
        <w:pStyle w:val="132"/>
        <w:bidi w:val="0"/>
        <w:rPr>
          <w:rFonts w:hint="eastAsia" w:ascii="宋体" w:hAnsi="宋体" w:eastAsia="宋体" w:cs="宋体"/>
          <w:color w:val="000000"/>
          <w:kern w:val="0"/>
          <w:sz w:val="19"/>
          <w:szCs w:val="19"/>
          <w:lang w:val="en-US" w:eastAsia="zh-CN" w:bidi="ar"/>
        </w:rPr>
        <w:sectPr>
          <w:pgSz w:w="11906" w:h="16838"/>
          <w:pgMar w:top="1928" w:right="1134" w:bottom="1134" w:left="1134" w:header="1418" w:footer="1134" w:gutter="284"/>
          <w:pgNumType w:fmt="decimal"/>
          <w:cols w:space="425" w:num="1"/>
          <w:formProt w:val="0"/>
          <w:docGrid w:type="lines" w:linePitch="312" w:charSpace="0"/>
        </w:sectPr>
      </w:pPr>
      <w:r>
        <w:rPr>
          <w:rFonts w:hint="eastAsia" w:ascii="宋体" w:hAnsi="宋体" w:eastAsia="宋体" w:cs="宋体"/>
          <w:color w:val="000000"/>
          <w:kern w:val="0"/>
          <w:sz w:val="19"/>
          <w:szCs w:val="19"/>
          <w:lang w:val="en-US" w:eastAsia="zh-CN" w:bidi="ar"/>
        </w:rPr>
        <w:t>允许采用其他等效的方法进行测量。</w:t>
      </w:r>
    </w:p>
    <w:p>
      <w:pPr>
        <w:pStyle w:val="198"/>
        <w:bidi w:val="0"/>
        <w:rPr>
          <w:rFonts w:hint="eastAsia"/>
          <w:lang w:val="en-US" w:eastAsia="zh-CN"/>
        </w:rPr>
      </w:pPr>
    </w:p>
    <w:p>
      <w:pPr>
        <w:pStyle w:val="199"/>
        <w:bidi w:val="0"/>
        <w:rPr>
          <w:rFonts w:hint="eastAsia"/>
          <w:lang w:val="en-US" w:eastAsia="zh-CN"/>
        </w:rPr>
      </w:pPr>
    </w:p>
    <w:p>
      <w:pPr>
        <w:pStyle w:val="76"/>
        <w:bidi w:val="0"/>
        <w:rPr>
          <w:rFonts w:hint="eastAsia"/>
          <w:lang w:val="en-US" w:eastAsia="zh-CN"/>
        </w:rPr>
      </w:pPr>
      <w:bookmarkStart w:id="181" w:name="_Toc20262"/>
      <w:bookmarkStart w:id="182" w:name="_Toc15822"/>
      <w:r>
        <w:rPr>
          <w:rFonts w:hint="eastAsia"/>
          <w:lang w:val="en-US" w:eastAsia="zh-CN"/>
        </w:rPr>
        <w:br w:type="textWrapping"/>
      </w:r>
      <w:r>
        <w:rPr>
          <w:rFonts w:hint="eastAsia"/>
          <w:lang w:val="en-US" w:eastAsia="zh-CN"/>
        </w:rPr>
        <w:t>（规范性）</w:t>
      </w:r>
      <w:r>
        <w:rPr>
          <w:rFonts w:hint="eastAsia"/>
          <w:lang w:val="en-US" w:eastAsia="zh-CN"/>
        </w:rPr>
        <w:br w:type="textWrapping"/>
      </w:r>
      <w:r>
        <w:rPr>
          <w:rFonts w:hint="eastAsia"/>
          <w:lang w:val="en-US" w:eastAsia="zh-CN"/>
        </w:rPr>
        <w:t>接地网最大接地电阻值计算</w:t>
      </w:r>
      <w:bookmarkEnd w:id="181"/>
      <w:bookmarkEnd w:id="182"/>
    </w:p>
    <w:p>
      <w:pPr>
        <w:pStyle w:val="78"/>
        <w:bidi w:val="0"/>
        <w:rPr>
          <w:rFonts w:hint="eastAsia"/>
          <w:lang w:val="en-US" w:eastAsia="zh-CN"/>
        </w:rPr>
      </w:pPr>
      <w:bookmarkStart w:id="183" w:name="_Toc3233"/>
      <w:bookmarkStart w:id="184" w:name="_Toc11717"/>
      <w:bookmarkStart w:id="185" w:name="_Toc27234"/>
      <w:r>
        <w:rPr>
          <w:rFonts w:hint="eastAsia" w:ascii="宋体" w:hAnsi="宋体" w:eastAsia="宋体" w:cs="宋体"/>
          <w:color w:val="000000"/>
          <w:kern w:val="0"/>
          <w:sz w:val="19"/>
          <w:szCs w:val="19"/>
          <w:lang w:val="en-US" w:eastAsia="zh-CN" w:bidi="ar"/>
        </w:rPr>
        <w:t>保护接地要求的升压站、陆上集控中心大型接地网接地电阻应符合下列要求：</w:t>
      </w:r>
      <w:bookmarkEnd w:id="183"/>
      <w:bookmarkEnd w:id="184"/>
      <w:bookmarkEnd w:id="185"/>
    </w:p>
    <w:p>
      <w:pPr>
        <w:keepNext w:val="0"/>
        <w:keepLines w:val="0"/>
        <w:pageBreakBefore w:val="0"/>
        <w:widowControl/>
        <w:suppressLineNumbers w:val="0"/>
        <w:kinsoku/>
        <w:wordWrap/>
        <w:overflowPunct/>
        <w:topLinePunct w:val="0"/>
        <w:autoSpaceDE/>
        <w:autoSpaceDN/>
        <w:bidi w:val="0"/>
        <w:adjustRightInd/>
        <w:snapToGrid/>
        <w:spacing w:line="120" w:lineRule="auto"/>
        <w:ind w:firstLine="380" w:firstLineChars="200"/>
        <w:jc w:val="left"/>
        <w:textAlignment w:val="auto"/>
        <w:rPr>
          <w:rFonts w:hint="eastAsia" w:ascii="宋体" w:hAnsi="宋体" w:eastAsia="宋体" w:cs="宋体"/>
          <w:color w:val="000000"/>
          <w:kern w:val="0"/>
          <w:sz w:val="19"/>
          <w:szCs w:val="19"/>
          <w:lang w:val="en-US" w:eastAsia="zh-CN" w:bidi="ar"/>
        </w:rPr>
      </w:pPr>
      <w:r>
        <w:rPr>
          <w:rFonts w:hint="default" w:ascii="宋体" w:hAnsi="宋体" w:eastAsia="宋体" w:cs="宋体"/>
          <w:color w:val="000000"/>
          <w:kern w:val="0"/>
          <w:sz w:val="19"/>
          <w:szCs w:val="19"/>
          <w:lang w:val="en-US" w:eastAsia="zh-CN" w:bidi="ar"/>
        </w:rPr>
        <w:t xml:space="preserve">1 </w:t>
      </w:r>
      <w:r>
        <w:rPr>
          <w:rFonts w:hint="eastAsia" w:ascii="宋体" w:hAnsi="宋体" w:eastAsia="宋体" w:cs="宋体"/>
          <w:color w:val="000000"/>
          <w:kern w:val="0"/>
          <w:sz w:val="19"/>
          <w:szCs w:val="19"/>
          <w:lang w:val="en-US" w:eastAsia="zh-CN" w:bidi="ar"/>
        </w:rPr>
        <w:t xml:space="preserve">有效接地系统和低电阻接地系统，应符合下列要求： </w:t>
      </w:r>
    </w:p>
    <w:p>
      <w:pPr>
        <w:keepNext w:val="0"/>
        <w:keepLines w:val="0"/>
        <w:pageBreakBefore w:val="0"/>
        <w:widowControl/>
        <w:suppressLineNumbers w:val="0"/>
        <w:kinsoku/>
        <w:wordWrap/>
        <w:overflowPunct/>
        <w:topLinePunct w:val="0"/>
        <w:autoSpaceDE/>
        <w:autoSpaceDN/>
        <w:bidi w:val="0"/>
        <w:adjustRightInd/>
        <w:snapToGrid/>
        <w:spacing w:line="120" w:lineRule="auto"/>
        <w:ind w:firstLine="380" w:firstLineChars="200"/>
        <w:jc w:val="left"/>
        <w:textAlignment w:val="auto"/>
        <w:rPr>
          <w:rFonts w:hint="eastAsia" w:ascii="宋体" w:hAnsi="宋体" w:eastAsia="宋体" w:cs="宋体"/>
          <w:color w:val="000000"/>
          <w:kern w:val="0"/>
          <w:sz w:val="19"/>
          <w:szCs w:val="19"/>
          <w:lang w:val="en-US" w:eastAsia="zh-CN" w:bidi="ar"/>
        </w:rPr>
      </w:pPr>
      <w:r>
        <w:rPr>
          <w:rFonts w:hint="eastAsia" w:ascii="宋体" w:hAnsi="宋体" w:eastAsia="宋体" w:cs="宋体"/>
          <w:color w:val="000000"/>
          <w:kern w:val="0"/>
          <w:sz w:val="19"/>
          <w:szCs w:val="19"/>
          <w:lang w:val="en-US" w:eastAsia="zh-CN" w:bidi="ar"/>
        </w:rPr>
        <w:t xml:space="preserve">接地网的接地电阻宜符合下式的要求，且保护接地接至接地网的站用变压器的低压应采用 </w:t>
      </w:r>
      <w:r>
        <w:rPr>
          <w:rFonts w:hint="default" w:ascii="宋体" w:hAnsi="宋体" w:eastAsia="宋体" w:cs="宋体"/>
          <w:color w:val="000000"/>
          <w:kern w:val="0"/>
          <w:sz w:val="19"/>
          <w:szCs w:val="19"/>
          <w:lang w:val="en-US" w:eastAsia="zh-CN" w:bidi="ar"/>
        </w:rPr>
        <w:t xml:space="preserve">TN </w:t>
      </w:r>
      <w:r>
        <w:rPr>
          <w:rFonts w:hint="eastAsia" w:ascii="宋体" w:hAnsi="宋体" w:eastAsia="宋体" w:cs="宋体"/>
          <w:color w:val="000000"/>
          <w:kern w:val="0"/>
          <w:sz w:val="19"/>
          <w:szCs w:val="19"/>
          <w:lang w:val="en-US" w:eastAsia="zh-CN" w:bidi="ar"/>
        </w:rPr>
        <w:t>系统，低压电气装置应采用（含建筑物钢筋的）保护总等电位联结系统：</w:t>
      </w:r>
    </w:p>
    <w:p>
      <w:pPr>
        <w:pStyle w:val="113"/>
        <w:bidi w:val="0"/>
        <w:rPr>
          <w:rFonts w:hint="eastAsia"/>
          <w:lang w:val="en-US" w:eastAsia="zh-CN"/>
        </w:rPr>
      </w:pPr>
      <w:r>
        <w:rPr>
          <w:rFonts w:hint="eastAsia"/>
          <w:lang w:val="en-US" w:eastAsia="zh-CN"/>
        </w:rPr>
        <w:tab/>
      </w:r>
      <m:oMath>
        <m:r>
          <m:rPr>
            <m:sty m:val="p"/>
          </m:rPr>
          <w:rPr>
            <w:rFonts w:hint="default" w:ascii="Cambria Math" w:hAnsi="Cambria Math" w:cs="Times New Roman"/>
            <w:kern w:val="2"/>
            <w:sz w:val="21"/>
            <w:szCs w:val="21"/>
            <w:lang w:val="en-US" w:eastAsia="zh-CN" w:bidi="ar-SA"/>
          </w:rPr>
          <m:t>R</m:t>
        </m:r>
        <m:r>
          <m:rPr>
            <m:sty m:val="p"/>
          </m:rPr>
          <w:rPr>
            <w:rFonts w:hint="eastAsia" w:ascii="Cambria Math" w:hAnsi="Cambria Math" w:cs="Times New Roman"/>
            <w:kern w:val="2"/>
            <w:sz w:val="21"/>
            <w:szCs w:val="21"/>
            <w:lang w:val="en-US" w:eastAsia="zh-CN" w:bidi="ar-SA"/>
          </w:rPr>
          <m:t>≤</m:t>
        </m:r>
        <m:r>
          <m:rPr>
            <m:sty m:val="p"/>
          </m:rPr>
          <w:rPr>
            <w:rFonts w:hint="default" w:ascii="Cambria Math" w:hAnsi="Cambria Math" w:cs="Times New Roman"/>
            <w:kern w:val="2"/>
            <w:sz w:val="21"/>
            <w:szCs w:val="21"/>
            <w:lang w:val="en-US" w:eastAsia="zh-CN" w:bidi="ar-SA"/>
          </w:rPr>
          <m:t>2000/</m:t>
        </m:r>
        <m:sSub>
          <m:sSubPr>
            <m:ctrlPr>
              <w:rPr>
                <w:rFonts w:hint="default" w:ascii="Cambria Math" w:hAnsi="Cambria Math" w:cs="Times New Roman"/>
                <w:kern w:val="2"/>
                <w:sz w:val="21"/>
                <w:szCs w:val="21"/>
                <w:lang w:val="en-US" w:eastAsia="zh-CN" w:bidi="ar-SA"/>
              </w:rPr>
            </m:ctrlPr>
          </m:sSubPr>
          <m:e>
            <m:r>
              <m:rPr>
                <m:sty m:val="p"/>
              </m:rPr>
              <w:rPr>
                <w:rFonts w:hint="default" w:ascii="Cambria Math" w:hAnsi="Cambria Math" w:cs="Times New Roman"/>
                <w:kern w:val="2"/>
                <w:sz w:val="21"/>
                <w:szCs w:val="21"/>
                <w:lang w:val="en-US" w:eastAsia="zh-CN" w:bidi="ar-SA"/>
              </w:rPr>
              <m:t>I</m:t>
            </m:r>
            <m:ctrlPr>
              <w:rPr>
                <w:rFonts w:hint="default" w:ascii="Cambria Math" w:hAnsi="Cambria Math" w:cs="Times New Roman"/>
                <w:kern w:val="2"/>
                <w:sz w:val="21"/>
                <w:szCs w:val="21"/>
                <w:lang w:val="en-US" w:eastAsia="zh-CN" w:bidi="ar-SA"/>
              </w:rPr>
            </m:ctrlPr>
          </m:e>
          <m:sub>
            <m:r>
              <m:rPr>
                <m:sty m:val="p"/>
              </m:rPr>
              <w:rPr>
                <w:rFonts w:hint="default" w:ascii="Cambria Math" w:hAnsi="Cambria Math" w:cs="Times New Roman"/>
                <w:kern w:val="2"/>
                <w:sz w:val="21"/>
                <w:szCs w:val="21"/>
                <w:lang w:val="en-US" w:eastAsia="zh-CN" w:bidi="ar-SA"/>
              </w:rPr>
              <m:t>G</m:t>
            </m:r>
            <m:ctrlPr>
              <w:rPr>
                <w:rFonts w:hint="default" w:ascii="Cambria Math" w:hAnsi="Cambria Math" w:cs="Times New Roman"/>
                <w:kern w:val="2"/>
                <w:sz w:val="21"/>
                <w:szCs w:val="21"/>
                <w:lang w:val="en-US" w:eastAsia="zh-CN" w:bidi="ar-SA"/>
              </w:rPr>
            </m:ctrlPr>
          </m:sub>
        </m:sSub>
      </m:oMath>
      <w:r>
        <w:rPr>
          <w:rFonts w:hint="eastAsia" w:ascii="微软雅黑" w:hAnsi="微软雅黑" w:eastAsia="微软雅黑" w:cs="微软雅黑"/>
          <w:lang w:val="en-US" w:eastAsia="zh-CN"/>
        </w:rPr>
        <w:tab/>
      </w:r>
      <w:r>
        <w:rPr>
          <w:rFonts w:hint="eastAsia"/>
          <w:lang w:val="en-US" w:eastAsia="zh-CN"/>
        </w:rPr>
        <w:t>(B.</w:t>
      </w:r>
      <w:r>
        <w:rPr>
          <w:rFonts w:hint="eastAsia"/>
          <w:lang w:val="en-US" w:eastAsia="zh-CN"/>
        </w:rPr>
        <w:fldChar w:fldCharType="begin"/>
      </w:r>
      <w:r>
        <w:rPr>
          <w:rFonts w:hint="eastAsia"/>
          <w:lang w:val="en-US" w:eastAsia="zh-CN"/>
        </w:rPr>
        <w:instrText xml:space="preserve"> seq fulu_equation_134003052328353112 </w:instrText>
      </w:r>
      <w:r>
        <w:rPr>
          <w:rFonts w:hint="eastAsia"/>
          <w:lang w:val="en-US" w:eastAsia="zh-CN"/>
        </w:rPr>
        <w:fldChar w:fldCharType="separate"/>
      </w:r>
      <w:r>
        <w:rPr>
          <w:rFonts w:hint="eastAsia"/>
          <w:lang w:val="en-US" w:eastAsia="zh-CN"/>
        </w:rPr>
        <w:t>1</w:t>
      </w:r>
      <w:r>
        <w:rPr>
          <w:rFonts w:hint="eastAsia"/>
          <w:lang w:val="en-US" w:eastAsia="zh-CN"/>
        </w:rPr>
        <w:fldChar w:fldCharType="end"/>
      </w:r>
      <w:r>
        <w:rPr>
          <w:rFonts w:hint="eastAsia"/>
          <w:lang w:val="en-US" w:eastAsia="zh-CN"/>
        </w:rPr>
        <w:t>)</w:t>
      </w:r>
    </w:p>
    <w:p>
      <w:pPr>
        <w:pStyle w:val="55"/>
        <w:rPr>
          <w:rFonts w:hint="eastAsia" w:ascii="宋体" w:hAnsi="宋体" w:cs="宋体"/>
          <w:color w:val="000000"/>
          <w:kern w:val="0"/>
          <w:sz w:val="19"/>
          <w:szCs w:val="19"/>
          <w:lang w:val="en-US" w:eastAsia="zh-CN" w:bidi="ar"/>
        </w:rPr>
      </w:pPr>
      <w:r>
        <w:rPr>
          <w:rFonts w:hint="eastAsia"/>
          <w:lang w:val="en-US" w:eastAsia="zh-CN"/>
        </w:rPr>
        <w:t>式中：R——</w:t>
      </w:r>
      <w:r>
        <w:rPr>
          <w:rFonts w:hint="eastAsia" w:ascii="宋体" w:hAnsi="宋体" w:eastAsia="宋体" w:cs="宋体"/>
          <w:color w:val="000000"/>
          <w:kern w:val="0"/>
          <w:sz w:val="19"/>
          <w:szCs w:val="19"/>
          <w:lang w:val="en-US" w:eastAsia="zh-CN" w:bidi="ar"/>
        </w:rPr>
        <w:t>考虑季节变化的最大接地电阻（Ω）</w:t>
      </w:r>
      <w:r>
        <w:rPr>
          <w:rFonts w:hint="eastAsia" w:ascii="宋体" w:hAnsi="宋体" w:cs="宋体"/>
          <w:color w:val="000000"/>
          <w:kern w:val="0"/>
          <w:sz w:val="19"/>
          <w:szCs w:val="19"/>
          <w:lang w:val="en-US" w:eastAsia="zh-CN" w:bidi="ar"/>
        </w:rPr>
        <w:t>；</w:t>
      </w:r>
    </w:p>
    <w:p>
      <w:pPr>
        <w:pStyle w:val="56"/>
        <w:rPr>
          <w:rFonts w:hint="default"/>
          <w:lang w:val="en-US" w:eastAsia="zh-CN"/>
        </w:rPr>
      </w:pPr>
      <w:r>
        <w:rPr>
          <w:rFonts w:hint="eastAsia" w:hAnsi="宋体" w:cs="宋体"/>
          <w:color w:val="000000"/>
          <w:kern w:val="0"/>
          <w:sz w:val="19"/>
          <w:szCs w:val="19"/>
          <w:lang w:val="en-US" w:eastAsia="zh-CN" w:bidi="ar"/>
        </w:rPr>
        <w:t xml:space="preserve">       </w:t>
      </w:r>
      <m:oMath>
        <m:sSub>
          <m:sSubPr>
            <m:ctrlPr>
              <w:rPr>
                <w:rFonts w:hint="default" w:ascii="Cambria Math" w:hAnsi="Cambria Math" w:cs="Times New Roman"/>
                <w:kern w:val="2"/>
                <w:sz w:val="21"/>
                <w:szCs w:val="21"/>
                <w:lang w:val="en-US" w:eastAsia="zh-CN" w:bidi="ar-SA"/>
              </w:rPr>
            </m:ctrlPr>
          </m:sSubPr>
          <m:e>
            <m:r>
              <m:rPr>
                <m:sty m:val="p"/>
              </m:rPr>
              <w:rPr>
                <w:rFonts w:hint="default" w:ascii="Cambria Math" w:hAnsi="Cambria Math" w:cs="Times New Roman"/>
                <w:kern w:val="2"/>
                <w:sz w:val="21"/>
                <w:szCs w:val="21"/>
                <w:lang w:val="en-US" w:eastAsia="zh-CN" w:bidi="ar-SA"/>
              </w:rPr>
              <m:t>I</m:t>
            </m:r>
            <m:ctrlPr>
              <w:rPr>
                <w:rFonts w:hint="default" w:ascii="Cambria Math" w:hAnsi="Cambria Math" w:cs="Times New Roman"/>
                <w:kern w:val="2"/>
                <w:sz w:val="21"/>
                <w:szCs w:val="21"/>
                <w:lang w:val="en-US" w:eastAsia="zh-CN" w:bidi="ar-SA"/>
              </w:rPr>
            </m:ctrlPr>
          </m:e>
          <m:sub>
            <m:r>
              <m:rPr>
                <m:sty m:val="p"/>
              </m:rPr>
              <w:rPr>
                <w:rFonts w:hint="default" w:ascii="Cambria Math" w:hAnsi="Cambria Math" w:cs="Times New Roman"/>
                <w:kern w:val="2"/>
                <w:sz w:val="21"/>
                <w:szCs w:val="21"/>
                <w:lang w:val="en-US" w:eastAsia="zh-CN" w:bidi="ar-SA"/>
              </w:rPr>
              <m:t>G</m:t>
            </m:r>
            <m:ctrlPr>
              <w:rPr>
                <w:rFonts w:hint="default" w:ascii="Cambria Math" w:hAnsi="Cambria Math" w:cs="Times New Roman"/>
                <w:kern w:val="2"/>
                <w:sz w:val="21"/>
                <w:szCs w:val="21"/>
                <w:lang w:val="en-US" w:eastAsia="zh-CN" w:bidi="ar-SA"/>
              </w:rPr>
            </m:ctrlPr>
          </m:sub>
        </m:sSub>
      </m:oMath>
      <w:r>
        <w:rPr>
          <w:rFonts w:hint="eastAsia" w:hAnsi="Cambria Math" w:cs="Times New Roman"/>
          <w:i w:val="0"/>
          <w:kern w:val="2"/>
          <w:sz w:val="21"/>
          <w:szCs w:val="21"/>
          <w:lang w:val="en-US" w:eastAsia="zh-CN" w:bidi="ar-SA"/>
        </w:rPr>
        <w:t>——</w:t>
      </w:r>
      <w:r>
        <w:rPr>
          <w:rFonts w:hint="eastAsia" w:ascii="宋体" w:hAnsi="宋体" w:eastAsia="宋体" w:cs="宋体"/>
          <w:color w:val="000000"/>
          <w:kern w:val="0"/>
          <w:sz w:val="19"/>
          <w:szCs w:val="19"/>
          <w:lang w:val="en-US" w:eastAsia="zh-CN" w:bidi="ar"/>
        </w:rPr>
        <w:t>计算用经接地网入地的最大接地故障不对称电流有效值（A）</w:t>
      </w:r>
      <w:r>
        <w:rPr>
          <w:rFonts w:hint="eastAsia" w:hAnsi="宋体" w:cs="宋体"/>
          <w:color w:val="000000"/>
          <w:kern w:val="0"/>
          <w:sz w:val="19"/>
          <w:szCs w:val="19"/>
          <w:lang w:val="en-US" w:eastAsia="zh-CN" w:bidi="ar"/>
        </w:rPr>
        <w:t>,应按GB 50065-2011 附录B确定。</w:t>
      </w:r>
    </w:p>
    <w:p>
      <w:pPr>
        <w:keepNext w:val="0"/>
        <w:keepLines w:val="0"/>
        <w:pageBreakBefore w:val="0"/>
        <w:widowControl/>
        <w:suppressLineNumbers w:val="0"/>
        <w:kinsoku/>
        <w:wordWrap/>
        <w:overflowPunct/>
        <w:topLinePunct w:val="0"/>
        <w:autoSpaceDE/>
        <w:autoSpaceDN/>
        <w:bidi w:val="0"/>
        <w:adjustRightInd/>
        <w:snapToGrid/>
        <w:spacing w:line="120" w:lineRule="auto"/>
        <w:ind w:firstLine="420" w:firstLineChars="200"/>
        <w:jc w:val="left"/>
        <w:textAlignment w:val="auto"/>
        <w:rPr>
          <w:rFonts w:hint="eastAsia" w:ascii="宋体" w:hAnsi="宋体" w:eastAsia="宋体" w:cs="宋体"/>
          <w:color w:val="000000"/>
          <w:kern w:val="0"/>
          <w:sz w:val="19"/>
          <w:szCs w:val="19"/>
          <w:lang w:val="en-US" w:eastAsia="zh-CN" w:bidi="ar"/>
        </w:rPr>
      </w:pPr>
      <m:oMath>
        <m:sSub>
          <m:sSubPr>
            <m:ctrlPr>
              <w:rPr>
                <w:rFonts w:hint="default" w:ascii="Cambria Math" w:hAnsi="Cambria Math" w:cs="Times New Roman"/>
                <w:kern w:val="2"/>
                <w:sz w:val="21"/>
                <w:szCs w:val="21"/>
                <w:lang w:val="en-US" w:eastAsia="zh-CN" w:bidi="ar-SA"/>
              </w:rPr>
            </m:ctrlPr>
          </m:sSubPr>
          <m:e>
            <m:r>
              <m:rPr>
                <m:sty m:val="p"/>
              </m:rPr>
              <w:rPr>
                <w:rFonts w:hint="default" w:ascii="Cambria Math" w:hAnsi="Cambria Math" w:cs="Times New Roman"/>
                <w:kern w:val="2"/>
                <w:sz w:val="21"/>
                <w:szCs w:val="21"/>
                <w:lang w:val="en-US" w:eastAsia="zh-CN" w:bidi="ar-SA"/>
              </w:rPr>
              <m:t>I</m:t>
            </m:r>
            <m:ctrlPr>
              <w:rPr>
                <w:rFonts w:hint="default" w:ascii="Cambria Math" w:hAnsi="Cambria Math" w:cs="Times New Roman"/>
                <w:kern w:val="2"/>
                <w:sz w:val="21"/>
                <w:szCs w:val="21"/>
                <w:lang w:val="en-US" w:eastAsia="zh-CN" w:bidi="ar-SA"/>
              </w:rPr>
            </m:ctrlPr>
          </m:e>
          <m:sub>
            <m:r>
              <m:rPr>
                <m:sty m:val="p"/>
              </m:rPr>
              <w:rPr>
                <w:rFonts w:hint="default" w:ascii="Cambria Math" w:hAnsi="Cambria Math" w:cs="Times New Roman"/>
                <w:kern w:val="2"/>
                <w:sz w:val="21"/>
                <w:szCs w:val="21"/>
                <w:lang w:val="en-US" w:eastAsia="zh-CN" w:bidi="ar-SA"/>
              </w:rPr>
              <m:t>G</m:t>
            </m:r>
            <m:ctrlPr>
              <w:rPr>
                <w:rFonts w:hint="default" w:ascii="Cambria Math" w:hAnsi="Cambria Math" w:cs="Times New Roman"/>
                <w:kern w:val="2"/>
                <w:sz w:val="21"/>
                <w:szCs w:val="21"/>
                <w:lang w:val="en-US" w:eastAsia="zh-CN" w:bidi="ar-SA"/>
              </w:rPr>
            </m:ctrlPr>
          </m:sub>
        </m:sSub>
      </m:oMath>
      <w:r>
        <w:rPr>
          <w:rFonts w:hint="eastAsia" w:ascii="宋体" w:hAnsi="宋体" w:eastAsia="宋体" w:cs="宋体"/>
          <w:color w:val="000000"/>
          <w:kern w:val="0"/>
          <w:sz w:val="19"/>
          <w:szCs w:val="19"/>
          <w:lang w:val="en-US" w:eastAsia="zh-CN" w:bidi="ar"/>
        </w:rPr>
        <w:t xml:space="preserve">应采用设计水平年系统最大运行方式下在接地网内、外发生接地故障时，经接地网流入地中、并计及直流分量的最大接地故障电流有效值。对其计算时，还应计算系统中各接地中性点间的故障电流分配，以及避雷线中分走的接地故障电流。 </w:t>
      </w:r>
    </w:p>
    <w:p>
      <w:pPr>
        <w:keepNext w:val="0"/>
        <w:keepLines w:val="0"/>
        <w:pageBreakBefore w:val="0"/>
        <w:widowControl/>
        <w:suppressLineNumbers w:val="0"/>
        <w:kinsoku/>
        <w:wordWrap/>
        <w:overflowPunct/>
        <w:topLinePunct w:val="0"/>
        <w:autoSpaceDE/>
        <w:autoSpaceDN/>
        <w:bidi w:val="0"/>
        <w:adjustRightInd/>
        <w:snapToGrid/>
        <w:spacing w:line="120" w:lineRule="auto"/>
        <w:ind w:firstLine="380" w:firstLineChars="200"/>
        <w:jc w:val="left"/>
        <w:textAlignment w:val="auto"/>
        <w:rPr>
          <w:rFonts w:hint="eastAsia" w:ascii="宋体" w:hAnsi="宋体" w:eastAsia="宋体" w:cs="宋体"/>
          <w:color w:val="000000"/>
          <w:kern w:val="0"/>
          <w:sz w:val="19"/>
          <w:szCs w:val="19"/>
          <w:lang w:val="en-US" w:eastAsia="zh-CN" w:bidi="ar"/>
        </w:rPr>
      </w:pPr>
      <w:r>
        <w:rPr>
          <w:rFonts w:hint="eastAsia" w:ascii="宋体" w:hAnsi="宋体" w:eastAsia="宋体" w:cs="宋体"/>
          <w:color w:val="000000"/>
          <w:kern w:val="0"/>
          <w:sz w:val="19"/>
          <w:szCs w:val="19"/>
          <w:lang w:val="en-US" w:eastAsia="zh-CN" w:bidi="ar"/>
        </w:rPr>
        <w:t xml:space="preserve">2 不接地、谐振接地、谐振‐低电阻接地和高电阻接地系统，应符合下列要求：    </w:t>
      </w:r>
    </w:p>
    <w:p>
      <w:pPr>
        <w:keepNext w:val="0"/>
        <w:keepLines w:val="0"/>
        <w:pageBreakBefore w:val="0"/>
        <w:widowControl/>
        <w:suppressLineNumbers w:val="0"/>
        <w:kinsoku/>
        <w:wordWrap/>
        <w:overflowPunct/>
        <w:topLinePunct w:val="0"/>
        <w:autoSpaceDE/>
        <w:autoSpaceDN/>
        <w:bidi w:val="0"/>
        <w:adjustRightInd/>
        <w:snapToGrid/>
        <w:spacing w:line="120" w:lineRule="auto"/>
        <w:ind w:firstLine="380" w:firstLineChars="200"/>
        <w:jc w:val="left"/>
        <w:textAlignment w:val="auto"/>
        <w:rPr>
          <w:rFonts w:hint="eastAsia" w:ascii="宋体" w:hAnsi="宋体" w:eastAsia="宋体" w:cs="宋体"/>
          <w:color w:val="000000"/>
          <w:kern w:val="0"/>
          <w:sz w:val="19"/>
          <w:szCs w:val="19"/>
          <w:lang w:val="en-US" w:eastAsia="zh-CN" w:bidi="ar"/>
        </w:rPr>
      </w:pPr>
      <w:r>
        <w:rPr>
          <w:rFonts w:hint="eastAsia" w:ascii="宋体" w:hAnsi="宋体" w:eastAsia="宋体" w:cs="宋体"/>
          <w:color w:val="000000"/>
          <w:kern w:val="0"/>
          <w:sz w:val="19"/>
          <w:szCs w:val="19"/>
          <w:lang w:val="en-US" w:eastAsia="zh-CN" w:bidi="ar"/>
        </w:rPr>
        <w:t xml:space="preserve">接地网的接地电阻应符合下式的要求，但不应大于4Ω，且保护接地接至接地网的站用变压器的低压侧电气装置，应采用（含建筑物钢筋的）保护总等电位联结系统： </w:t>
      </w:r>
    </w:p>
    <w:p>
      <w:pPr>
        <w:pStyle w:val="113"/>
        <w:bidi w:val="0"/>
        <w:rPr>
          <w:rFonts w:hint="eastAsia"/>
          <w:lang w:val="en-US" w:eastAsia="zh-CN"/>
        </w:rPr>
      </w:pPr>
      <w:r>
        <w:rPr>
          <w:rFonts w:hint="eastAsia"/>
          <w:lang w:val="en-US" w:eastAsia="zh-CN"/>
        </w:rPr>
        <w:tab/>
      </w:r>
      <m:oMath>
        <m:r>
          <m:rPr>
            <m:sty m:val="p"/>
          </m:rPr>
          <w:rPr>
            <w:rFonts w:hint="default" w:ascii="Cambria Math" w:hAnsi="Cambria Math" w:cs="Times New Roman"/>
            <w:kern w:val="2"/>
            <w:sz w:val="21"/>
            <w:szCs w:val="21"/>
            <w:lang w:val="en-US" w:eastAsia="zh-CN" w:bidi="ar-SA"/>
          </w:rPr>
          <m:t>R</m:t>
        </m:r>
        <m:r>
          <m:rPr>
            <m:sty m:val="p"/>
          </m:rPr>
          <w:rPr>
            <w:rFonts w:hint="eastAsia" w:ascii="Cambria Math" w:hAnsi="Cambria Math" w:cs="Times New Roman"/>
            <w:kern w:val="2"/>
            <w:sz w:val="21"/>
            <w:szCs w:val="21"/>
            <w:lang w:val="en-US" w:eastAsia="zh-CN" w:bidi="ar-SA"/>
          </w:rPr>
          <m:t>≤</m:t>
        </m:r>
        <m:r>
          <m:rPr>
            <m:sty m:val="p"/>
          </m:rPr>
          <w:rPr>
            <w:rFonts w:hint="default" w:ascii="Cambria Math" w:hAnsi="Cambria Math" w:cs="Times New Roman"/>
            <w:kern w:val="2"/>
            <w:sz w:val="21"/>
            <w:szCs w:val="21"/>
            <w:lang w:val="en-US" w:eastAsia="zh-CN" w:bidi="ar-SA"/>
          </w:rPr>
          <m:t>120/</m:t>
        </m:r>
        <m:sSub>
          <m:sSubPr>
            <m:ctrlPr>
              <w:rPr>
                <w:rFonts w:hint="default" w:ascii="Cambria Math" w:hAnsi="Cambria Math" w:cs="Times New Roman"/>
                <w:kern w:val="2"/>
                <w:sz w:val="21"/>
                <w:szCs w:val="21"/>
                <w:lang w:val="en-US" w:eastAsia="zh-CN" w:bidi="ar-SA"/>
              </w:rPr>
            </m:ctrlPr>
          </m:sSubPr>
          <m:e>
            <m:r>
              <m:rPr>
                <m:sty m:val="p"/>
              </m:rPr>
              <w:rPr>
                <w:rFonts w:hint="default" w:ascii="Cambria Math" w:hAnsi="Cambria Math" w:cs="Times New Roman"/>
                <w:kern w:val="2"/>
                <w:sz w:val="21"/>
                <w:szCs w:val="21"/>
                <w:lang w:val="en-US" w:eastAsia="zh-CN" w:bidi="ar-SA"/>
              </w:rPr>
              <m:t>I</m:t>
            </m:r>
            <m:ctrlPr>
              <w:rPr>
                <w:rFonts w:hint="default" w:ascii="Cambria Math" w:hAnsi="Cambria Math" w:cs="Times New Roman"/>
                <w:kern w:val="2"/>
                <w:sz w:val="21"/>
                <w:szCs w:val="21"/>
                <w:lang w:val="en-US" w:eastAsia="zh-CN" w:bidi="ar-SA"/>
              </w:rPr>
            </m:ctrlPr>
          </m:e>
          <m:sub>
            <m:r>
              <m:rPr>
                <m:sty m:val="p"/>
              </m:rPr>
              <w:rPr>
                <w:rFonts w:hint="default" w:ascii="Cambria Math" w:hAnsi="Cambria Math" w:cs="Times New Roman"/>
                <w:kern w:val="2"/>
                <w:sz w:val="21"/>
                <w:szCs w:val="21"/>
                <w:lang w:val="en-US" w:eastAsia="zh-CN" w:bidi="ar-SA"/>
              </w:rPr>
              <m:t>G</m:t>
            </m:r>
            <m:ctrlPr>
              <w:rPr>
                <w:rFonts w:hint="default" w:ascii="Cambria Math" w:hAnsi="Cambria Math" w:cs="Times New Roman"/>
                <w:kern w:val="2"/>
                <w:sz w:val="21"/>
                <w:szCs w:val="21"/>
                <w:lang w:val="en-US" w:eastAsia="zh-CN" w:bidi="ar-SA"/>
              </w:rPr>
            </m:ctrlPr>
          </m:sub>
        </m:sSub>
      </m:oMath>
      <w:r>
        <w:rPr>
          <w:rFonts w:hint="eastAsia" w:ascii="微软雅黑" w:hAnsi="微软雅黑" w:eastAsia="微软雅黑" w:cs="微软雅黑"/>
          <w:lang w:val="en-US" w:eastAsia="zh-CN"/>
        </w:rPr>
        <w:tab/>
      </w:r>
      <w:r>
        <w:rPr>
          <w:rFonts w:hint="eastAsia"/>
          <w:lang w:val="en-US" w:eastAsia="zh-CN"/>
        </w:rPr>
        <w:t>(B.2)</w:t>
      </w:r>
    </w:p>
    <w:p>
      <w:pPr>
        <w:pStyle w:val="55"/>
        <w:rPr>
          <w:rFonts w:hint="eastAsia" w:ascii="宋体" w:hAnsi="宋体" w:cs="宋体"/>
          <w:color w:val="000000"/>
          <w:kern w:val="0"/>
          <w:sz w:val="19"/>
          <w:szCs w:val="19"/>
          <w:lang w:val="en-US" w:eastAsia="zh-CN" w:bidi="ar"/>
        </w:rPr>
      </w:pPr>
      <w:r>
        <w:rPr>
          <w:rFonts w:hint="eastAsia"/>
          <w:lang w:val="en-US" w:eastAsia="zh-CN"/>
        </w:rPr>
        <w:t>式中：R——</w:t>
      </w:r>
      <w:r>
        <w:rPr>
          <w:rFonts w:hint="eastAsia" w:ascii="宋体" w:hAnsi="宋体" w:eastAsia="宋体" w:cs="宋体"/>
          <w:color w:val="000000"/>
          <w:kern w:val="0"/>
          <w:sz w:val="19"/>
          <w:szCs w:val="19"/>
          <w:lang w:val="en-US" w:eastAsia="zh-CN" w:bidi="ar"/>
        </w:rPr>
        <w:t>采用季节变化的最大接地电阻（Ω）</w:t>
      </w:r>
      <w:r>
        <w:rPr>
          <w:rFonts w:hint="eastAsia" w:ascii="宋体" w:hAnsi="宋体" w:cs="宋体"/>
          <w:color w:val="000000"/>
          <w:kern w:val="0"/>
          <w:sz w:val="19"/>
          <w:szCs w:val="19"/>
          <w:lang w:val="en-US" w:eastAsia="zh-CN" w:bidi="ar"/>
        </w:rPr>
        <w:t>；</w:t>
      </w:r>
    </w:p>
    <w:p>
      <w:pPr>
        <w:pStyle w:val="56"/>
        <w:rPr>
          <w:rFonts w:hint="eastAsia" w:hAnsi="宋体" w:cs="宋体"/>
          <w:color w:val="000000"/>
          <w:kern w:val="0"/>
          <w:sz w:val="19"/>
          <w:szCs w:val="19"/>
          <w:lang w:val="en-US" w:eastAsia="zh-CN" w:bidi="ar"/>
        </w:rPr>
      </w:pPr>
      <w:r>
        <w:rPr>
          <w:rFonts w:hint="eastAsia" w:hAnsi="宋体" w:cs="宋体"/>
          <w:color w:val="000000"/>
          <w:kern w:val="0"/>
          <w:sz w:val="19"/>
          <w:szCs w:val="19"/>
          <w:lang w:val="en-US" w:eastAsia="zh-CN" w:bidi="ar"/>
        </w:rPr>
        <w:t xml:space="preserve">       </w:t>
      </w:r>
      <m:oMath>
        <m:sSub>
          <m:sSubPr>
            <m:ctrlPr>
              <w:rPr>
                <w:rFonts w:hint="default" w:ascii="Cambria Math" w:hAnsi="Cambria Math" w:cs="Times New Roman"/>
                <w:kern w:val="2"/>
                <w:sz w:val="21"/>
                <w:szCs w:val="21"/>
                <w:lang w:val="en-US" w:eastAsia="zh-CN" w:bidi="ar-SA"/>
              </w:rPr>
            </m:ctrlPr>
          </m:sSubPr>
          <m:e>
            <m:r>
              <m:rPr>
                <m:sty m:val="p"/>
              </m:rPr>
              <w:rPr>
                <w:rFonts w:hint="default" w:ascii="Cambria Math" w:hAnsi="Cambria Math" w:cs="Times New Roman"/>
                <w:kern w:val="2"/>
                <w:sz w:val="21"/>
                <w:szCs w:val="21"/>
                <w:lang w:val="en-US" w:eastAsia="zh-CN" w:bidi="ar-SA"/>
              </w:rPr>
              <m:t>I</m:t>
            </m:r>
            <m:ctrlPr>
              <w:rPr>
                <w:rFonts w:hint="default" w:ascii="Cambria Math" w:hAnsi="Cambria Math" w:cs="Times New Roman"/>
                <w:kern w:val="2"/>
                <w:sz w:val="21"/>
                <w:szCs w:val="21"/>
                <w:lang w:val="en-US" w:eastAsia="zh-CN" w:bidi="ar-SA"/>
              </w:rPr>
            </m:ctrlPr>
          </m:e>
          <m:sub>
            <m:r>
              <m:rPr>
                <m:sty m:val="p"/>
              </m:rPr>
              <w:rPr>
                <w:rFonts w:hint="default" w:ascii="Cambria Math" w:hAnsi="Cambria Math" w:cs="Times New Roman"/>
                <w:kern w:val="2"/>
                <w:sz w:val="21"/>
                <w:szCs w:val="21"/>
                <w:lang w:val="en-US" w:eastAsia="zh-CN" w:bidi="ar-SA"/>
              </w:rPr>
              <m:t>G</m:t>
            </m:r>
            <m:ctrlPr>
              <w:rPr>
                <w:rFonts w:hint="default" w:ascii="Cambria Math" w:hAnsi="Cambria Math" w:cs="Times New Roman"/>
                <w:kern w:val="2"/>
                <w:sz w:val="21"/>
                <w:szCs w:val="21"/>
                <w:lang w:val="en-US" w:eastAsia="zh-CN" w:bidi="ar-SA"/>
              </w:rPr>
            </m:ctrlPr>
          </m:sub>
        </m:sSub>
      </m:oMath>
      <w:r>
        <w:rPr>
          <w:rFonts w:hint="eastAsia" w:hAnsi="Cambria Math" w:cs="Times New Roman"/>
          <w:i w:val="0"/>
          <w:kern w:val="2"/>
          <w:sz w:val="21"/>
          <w:szCs w:val="21"/>
          <w:lang w:val="en-US" w:eastAsia="zh-CN" w:bidi="ar-SA"/>
        </w:rPr>
        <w:t>——</w:t>
      </w:r>
      <w:r>
        <w:rPr>
          <w:rFonts w:hint="eastAsia" w:ascii="宋体" w:hAnsi="宋体" w:eastAsia="宋体" w:cs="宋体"/>
          <w:color w:val="000000"/>
          <w:kern w:val="0"/>
          <w:sz w:val="19"/>
          <w:szCs w:val="19"/>
          <w:lang w:val="en-US" w:eastAsia="zh-CN" w:bidi="ar"/>
        </w:rPr>
        <w:t>计算用的接地网入地对称电流（A）</w:t>
      </w:r>
      <w:r>
        <w:rPr>
          <w:rFonts w:hint="eastAsia" w:hAnsi="宋体" w:cs="宋体"/>
          <w:color w:val="000000"/>
          <w:kern w:val="0"/>
          <w:sz w:val="19"/>
          <w:szCs w:val="19"/>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120" w:lineRule="auto"/>
        <w:ind w:firstLine="380" w:firstLineChars="200"/>
        <w:jc w:val="left"/>
        <w:textAlignment w:val="auto"/>
        <w:rPr>
          <w:rFonts w:ascii="Calibri" w:hAnsi="Calibri" w:eastAsia="宋体" w:cs="Calibri"/>
          <w:b/>
          <w:bCs/>
          <w:color w:val="000000"/>
          <w:kern w:val="0"/>
          <w:szCs w:val="21"/>
          <w:lang w:bidi="ar"/>
        </w:rPr>
      </w:pPr>
      <w:r>
        <w:rPr>
          <w:rFonts w:hint="eastAsia" w:ascii="宋体" w:hAnsi="宋体" w:eastAsia="宋体" w:cs="宋体"/>
          <w:color w:val="000000"/>
          <w:kern w:val="0"/>
          <w:sz w:val="19"/>
          <w:szCs w:val="19"/>
          <w:lang w:val="en-US" w:eastAsia="zh-CN" w:bidi="ar"/>
        </w:rPr>
        <w:t>谐振接地和谐振‐低电阻接地系统中，计算接地网的入地对称电流时，对于装有自动</w:t>
      </w:r>
      <w:r>
        <w:rPr>
          <w:rFonts w:hint="eastAsia" w:ascii="宋体" w:hAnsi="宋体" w:cs="宋体"/>
          <w:color w:val="000000"/>
          <w:kern w:val="0"/>
          <w:sz w:val="19"/>
          <w:szCs w:val="19"/>
          <w:lang w:val="en-US" w:eastAsia="zh-CN" w:bidi="ar"/>
        </w:rPr>
        <w:t>跟踪</w:t>
      </w:r>
      <w:r>
        <w:rPr>
          <w:rFonts w:hint="eastAsia" w:ascii="宋体" w:hAnsi="宋体" w:eastAsia="宋体" w:cs="宋体"/>
          <w:color w:val="000000"/>
          <w:kern w:val="0"/>
          <w:sz w:val="19"/>
          <w:szCs w:val="19"/>
          <w:lang w:val="en-US" w:eastAsia="zh-CN" w:bidi="ar"/>
        </w:rPr>
        <w:t>补偿消弧装置（含非自动调节的消弧线圈）的电气装置的接地网，计算电流等于接在同一接地网中同一系统各自动</w:t>
      </w:r>
      <w:r>
        <w:rPr>
          <w:rFonts w:hint="eastAsia" w:ascii="宋体" w:hAnsi="宋体" w:cs="宋体"/>
          <w:color w:val="000000"/>
          <w:kern w:val="0"/>
          <w:sz w:val="19"/>
          <w:szCs w:val="19"/>
          <w:lang w:val="en-US" w:eastAsia="zh-CN" w:bidi="ar"/>
        </w:rPr>
        <w:t>跟踪</w:t>
      </w:r>
      <w:r>
        <w:rPr>
          <w:rFonts w:hint="eastAsia" w:ascii="宋体" w:hAnsi="宋体" w:eastAsia="宋体" w:cs="宋体"/>
          <w:color w:val="000000"/>
          <w:kern w:val="0"/>
          <w:sz w:val="19"/>
          <w:szCs w:val="19"/>
          <w:lang w:val="en-US" w:eastAsia="zh-CN" w:bidi="ar"/>
        </w:rPr>
        <w:t>补偿消弧装置额定电流总和的 1.25 倍；对于不装自动</w:t>
      </w:r>
      <w:r>
        <w:rPr>
          <w:rFonts w:hint="eastAsia" w:ascii="宋体" w:hAnsi="宋体" w:cs="宋体"/>
          <w:color w:val="000000"/>
          <w:kern w:val="0"/>
          <w:sz w:val="19"/>
          <w:szCs w:val="19"/>
          <w:lang w:val="en-US" w:eastAsia="zh-CN" w:bidi="ar"/>
        </w:rPr>
        <w:t>跟踪</w:t>
      </w:r>
      <w:r>
        <w:rPr>
          <w:rFonts w:hint="eastAsia" w:ascii="宋体" w:hAnsi="宋体" w:eastAsia="宋体" w:cs="宋体"/>
          <w:color w:val="000000"/>
          <w:kern w:val="0"/>
          <w:sz w:val="19"/>
          <w:szCs w:val="19"/>
          <w:lang w:val="en-US" w:eastAsia="zh-CN" w:bidi="ar"/>
        </w:rPr>
        <w:t>补偿消弧装置的发电厂和变电站电气装置的接地网，计算电流等于系统中断开最大一套自动</w:t>
      </w:r>
      <w:r>
        <w:rPr>
          <w:rFonts w:hint="eastAsia" w:ascii="宋体" w:hAnsi="宋体" w:cs="宋体"/>
          <w:color w:val="000000"/>
          <w:kern w:val="0"/>
          <w:sz w:val="19"/>
          <w:szCs w:val="19"/>
          <w:lang w:val="en-US" w:eastAsia="zh-CN" w:bidi="ar"/>
        </w:rPr>
        <w:t>跟踪</w:t>
      </w:r>
      <w:bookmarkStart w:id="187" w:name="_GoBack"/>
      <w:bookmarkEnd w:id="187"/>
      <w:r>
        <w:rPr>
          <w:rFonts w:hint="eastAsia" w:ascii="宋体" w:hAnsi="宋体" w:eastAsia="宋体" w:cs="宋体"/>
          <w:color w:val="000000"/>
          <w:kern w:val="0"/>
          <w:sz w:val="19"/>
          <w:szCs w:val="19"/>
          <w:lang w:val="en-US" w:eastAsia="zh-CN" w:bidi="ar"/>
        </w:rPr>
        <w:t>补偿消弧装置或系统中最长线路被切除时的最大可能残余电流值。</w:t>
      </w:r>
    </w:p>
    <w:p>
      <w:pPr>
        <w:pStyle w:val="230"/>
        <w:ind w:firstLine="0" w:firstLineChars="0"/>
        <w:rPr>
          <w:rFonts w:hint="eastAsia"/>
          <w:highlight w:val="yellow"/>
        </w:rPr>
      </w:pPr>
    </w:p>
    <w:p>
      <w:pPr>
        <w:pStyle w:val="56"/>
        <w:rPr>
          <w:rFonts w:hint="default" w:hAnsi="宋体" w:cs="宋体"/>
          <w:color w:val="000000"/>
          <w:kern w:val="0"/>
          <w:sz w:val="19"/>
          <w:szCs w:val="19"/>
          <w:lang w:val="en-US" w:eastAsia="zh-CN" w:bidi="ar"/>
        </w:rPr>
      </w:pPr>
    </w:p>
    <w:p>
      <w:pPr>
        <w:pStyle w:val="56"/>
        <w:rPr>
          <w:rFonts w:hint="default" w:hAnsi="宋体" w:cs="宋体"/>
          <w:color w:val="000000"/>
          <w:kern w:val="0"/>
          <w:sz w:val="19"/>
          <w:szCs w:val="19"/>
          <w:lang w:val="en-US" w:eastAsia="zh-CN" w:bidi="ar"/>
        </w:rPr>
      </w:pPr>
    </w:p>
    <w:p>
      <w:pPr>
        <w:pStyle w:val="56"/>
        <w:rPr>
          <w:rFonts w:hint="default" w:hAnsi="宋体" w:cs="宋体"/>
          <w:color w:val="000000"/>
          <w:kern w:val="0"/>
          <w:sz w:val="19"/>
          <w:szCs w:val="19"/>
          <w:lang w:val="en-US" w:eastAsia="zh-CN" w:bidi="ar"/>
        </w:rPr>
      </w:pPr>
    </w:p>
    <w:p>
      <w:pPr>
        <w:pStyle w:val="56"/>
        <w:rPr>
          <w:rFonts w:hint="default" w:hAnsi="宋体" w:cs="宋体"/>
          <w:color w:val="000000"/>
          <w:kern w:val="0"/>
          <w:sz w:val="19"/>
          <w:szCs w:val="19"/>
          <w:lang w:val="en-US" w:eastAsia="zh-CN" w:bidi="ar"/>
        </w:rPr>
      </w:pPr>
    </w:p>
    <w:p>
      <w:pPr>
        <w:pStyle w:val="56"/>
        <w:rPr>
          <w:rFonts w:hint="default" w:hAnsi="宋体" w:cs="宋体"/>
          <w:color w:val="000000"/>
          <w:kern w:val="0"/>
          <w:sz w:val="19"/>
          <w:szCs w:val="19"/>
          <w:lang w:val="en-US" w:eastAsia="zh-CN" w:bidi="ar"/>
        </w:rPr>
      </w:pPr>
    </w:p>
    <w:p>
      <w:pPr>
        <w:pStyle w:val="56"/>
        <w:rPr>
          <w:rFonts w:hint="default" w:hAnsi="宋体" w:cs="宋体"/>
          <w:color w:val="000000"/>
          <w:kern w:val="0"/>
          <w:sz w:val="19"/>
          <w:szCs w:val="19"/>
          <w:lang w:val="en-US" w:eastAsia="zh-CN" w:bidi="ar"/>
        </w:rPr>
      </w:pPr>
    </w:p>
    <w:bookmarkEnd w:id="169"/>
    <w:p>
      <w:pPr>
        <w:pStyle w:val="56"/>
        <w:bidi w:val="0"/>
        <w:ind w:firstLine="0" w:firstLineChars="0"/>
        <w:jc w:val="center"/>
        <w:rPr>
          <w:rFonts w:hint="default"/>
          <w:lang w:val="en-US" w:eastAsia="zh-CN"/>
        </w:rPr>
      </w:pPr>
      <w:bookmarkStart w:id="186" w:name="BookMark8"/>
      <w:r>
        <w:rPr>
          <w:rFonts w:hint="default"/>
          <w:lang w:val="en-US" w:eastAsia="zh-CN"/>
        </w:rPr>
        <w:drawing>
          <wp:inline distT="0" distB="0" distL="114300" distR="114300">
            <wp:extent cx="1485900" cy="317500"/>
            <wp:effectExtent l="0" t="0" r="7620" b="2540"/>
            <wp:docPr id="1" name="图片 1" descr="1"/>
            <wp:cNvGraphicFramePr/>
            <a:graphic xmlns:a="http://schemas.openxmlformats.org/drawingml/2006/main">
              <a:graphicData uri="http://schemas.openxmlformats.org/drawingml/2006/picture">
                <pic:pic xmlns:pic="http://schemas.openxmlformats.org/drawingml/2006/picture">
                  <pic:nvPicPr>
                    <pic:cNvPr id="1" name="图片 1" descr="1"/>
                    <pic:cNvPicPr/>
                  </pic:nvPicPr>
                  <pic:blipFill>
                    <a:blip r:embed="rId17"/>
                    <a:stretch>
                      <a:fillRect/>
                    </a:stretch>
                  </pic:blipFill>
                  <pic:spPr>
                    <a:xfrm>
                      <a:off x="0" y="0"/>
                      <a:ext cx="1485900" cy="317500"/>
                    </a:xfrm>
                    <a:prstGeom prst="rect">
                      <a:avLst/>
                    </a:prstGeom>
                  </pic:spPr>
                </pic:pic>
              </a:graphicData>
            </a:graphic>
          </wp:inline>
        </w:drawing>
      </w:r>
      <w:bookmarkEnd w:id="186"/>
    </w:p>
    <w:sectPr>
      <w:pgSz w:w="11906" w:h="16838"/>
      <w:pgMar w:top="1928" w:right="1134" w:bottom="1134" w:left="1134" w:header="1418" w:footer="1134" w:gutter="284"/>
      <w:pgNumType w:fmt="decimal"/>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FZSSK--GBK1-0">
    <w:altName w:val="Noto Serif SC"/>
    <w:panose1 w:val="00000000000000000000"/>
    <w:charset w:val="00"/>
    <w:family w:val="auto"/>
    <w:pitch w:val="default"/>
    <w:sig w:usb0="00000000" w:usb1="00000000" w:usb2="00000000" w:usb3="00000000" w:csb0="00040001" w:csb1="00000000"/>
  </w:font>
  <w:font w:name="Noto Serif SC">
    <w:panose1 w:val="02020200000000000000"/>
    <w:charset w:val="86"/>
    <w:family w:val="auto"/>
    <w:pitch w:val="default"/>
    <w:sig w:usb0="20000083" w:usb1="2ADF3C10" w:usb2="00000016" w:usb3="00000000" w:csb0="60060107" w:csb1="00000000"/>
  </w:font>
  <w:font w:name="Cambria Math">
    <w:panose1 w:val="02040503050406030204"/>
    <w:charset w:val="00"/>
    <w:family w:val="auto"/>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46/T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7"/>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1FC91163"/>
    <w:multiLevelType w:val="multilevel"/>
    <w:tmpl w:val="1FC91163"/>
    <w:lvl w:ilvl="0" w:tentative="0">
      <w:start w:val="1"/>
      <w:numFmt w:val="decimal"/>
      <w:pStyle w:val="231"/>
      <w:suff w:val="nothing"/>
      <w:lvlText w:val="%1　"/>
      <w:lvlJc w:val="left"/>
      <w:pPr>
        <w:ind w:left="0" w:firstLine="0"/>
      </w:pPr>
      <w:rPr>
        <w:rFonts w:hint="eastAsia" w:ascii="黑体" w:hAnsi="Times New Roman" w:eastAsia="黑体"/>
        <w:b w:val="0"/>
        <w:i w:val="0"/>
        <w:sz w:val="21"/>
        <w:szCs w:val="21"/>
      </w:rPr>
    </w:lvl>
    <w:lvl w:ilvl="1" w:tentative="0">
      <w:start w:val="1"/>
      <w:numFmt w:val="decimal"/>
      <w:suff w:val="nothing"/>
      <w:lvlText w:val="%1.%2　"/>
      <w:lvlJc w:val="left"/>
      <w:pPr>
        <w:ind w:left="0"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1">
    <w:nsid w:val="2C5917C3"/>
    <w:multiLevelType w:val="multilevel"/>
    <w:tmpl w:val="2C5917C3"/>
    <w:lvl w:ilvl="0" w:tentative="0">
      <w:start w:val="1"/>
      <w:numFmt w:val="none"/>
      <w:pStyle w:val="132"/>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2">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3">
    <w:nsid w:val="44C50F90"/>
    <w:multiLevelType w:val="multilevel"/>
    <w:tmpl w:val="44C50F90"/>
    <w:lvl w:ilvl="0" w:tentative="0">
      <w:start w:val="1"/>
      <w:numFmt w:val="lowerLetter"/>
      <w:pStyle w:val="174"/>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4">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5">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6">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7">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8">
    <w:nsid w:val="557C2AF5"/>
    <w:multiLevelType w:val="multilevel"/>
    <w:tmpl w:val="557C2AF5"/>
    <w:lvl w:ilvl="0" w:tentative="0">
      <w:start w:val="1"/>
      <w:numFmt w:val="decimal"/>
      <w:pStyle w:val="11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9">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0">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1">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2">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3">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4">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5">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6">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7">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0" w:firstLine="0"/>
      </w:pPr>
      <w:rPr>
        <w:rFonts w:hint="eastAsia" w:ascii="黑体" w:eastAsia="黑体"/>
        <w:b w:val="0"/>
        <w:i w:val="0"/>
        <w:sz w:val="21"/>
      </w:rPr>
    </w:lvl>
    <w:lvl w:ilvl="2" w:tentative="0">
      <w:start w:val="1"/>
      <w:numFmt w:val="decimal"/>
      <w:pStyle w:val="105"/>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pStyle w:val="65"/>
      <w:suff w:val="nothing"/>
      <w:lvlText w:val="%1%2.%3.%4　"/>
      <w:lvlJc w:val="left"/>
      <w:pPr>
        <w:ind w:left="0" w:firstLine="0"/>
      </w:pPr>
      <w:rPr>
        <w:rFonts w:hint="eastAsia" w:ascii="黑体" w:eastAsia="黑体"/>
        <w:b w:val="0"/>
        <w:i w:val="0"/>
        <w:sz w:val="21"/>
      </w:rPr>
    </w:lvl>
    <w:lvl w:ilvl="4" w:tentative="0">
      <w:start w:val="1"/>
      <w:numFmt w:val="decimal"/>
      <w:pStyle w:val="94"/>
      <w:suff w:val="nothing"/>
      <w:lvlText w:val="%1%2.%3.%4.%5　"/>
      <w:lvlJc w:val="left"/>
      <w:pPr>
        <w:ind w:left="0"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9">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30">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1">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8"/>
  </w:num>
  <w:num w:numId="3">
    <w:abstractNumId w:val="5"/>
  </w:num>
  <w:num w:numId="4">
    <w:abstractNumId w:val="24"/>
  </w:num>
  <w:num w:numId="5">
    <w:abstractNumId w:val="19"/>
  </w:num>
  <w:num w:numId="6">
    <w:abstractNumId w:val="14"/>
  </w:num>
  <w:num w:numId="7">
    <w:abstractNumId w:val="8"/>
  </w:num>
  <w:num w:numId="8">
    <w:abstractNumId w:val="3"/>
  </w:num>
  <w:num w:numId="9">
    <w:abstractNumId w:val="9"/>
  </w:num>
  <w:num w:numId="10">
    <w:abstractNumId w:val="17"/>
  </w:num>
  <w:num w:numId="11">
    <w:abstractNumId w:val="26"/>
  </w:num>
  <w:num w:numId="12">
    <w:abstractNumId w:val="12"/>
  </w:num>
  <w:num w:numId="13">
    <w:abstractNumId w:val="13"/>
  </w:num>
  <w:num w:numId="14">
    <w:abstractNumId w:val="7"/>
  </w:num>
  <w:num w:numId="15">
    <w:abstractNumId w:val="20"/>
  </w:num>
  <w:num w:numId="16">
    <w:abstractNumId w:val="22"/>
  </w:num>
  <w:num w:numId="17">
    <w:abstractNumId w:val="18"/>
  </w:num>
  <w:num w:numId="18">
    <w:abstractNumId w:val="30"/>
  </w:num>
  <w:num w:numId="19">
    <w:abstractNumId w:val="16"/>
  </w:num>
  <w:num w:numId="20">
    <w:abstractNumId w:val="1"/>
  </w:num>
  <w:num w:numId="21">
    <w:abstractNumId w:val="11"/>
  </w:num>
  <w:num w:numId="22">
    <w:abstractNumId w:val="31"/>
  </w:num>
  <w:num w:numId="23">
    <w:abstractNumId w:val="21"/>
  </w:num>
  <w:num w:numId="24">
    <w:abstractNumId w:val="6"/>
  </w:num>
  <w:num w:numId="25">
    <w:abstractNumId w:val="27"/>
  </w:num>
  <w:num w:numId="26">
    <w:abstractNumId w:val="29"/>
  </w:num>
  <w:num w:numId="27">
    <w:abstractNumId w:val="2"/>
  </w:num>
  <w:num w:numId="28">
    <w:abstractNumId w:val="4"/>
  </w:num>
  <w:num w:numId="29">
    <w:abstractNumId w:val="15"/>
  </w:num>
  <w:num w:numId="30">
    <w:abstractNumId w:val="25"/>
  </w:num>
  <w:num w:numId="31">
    <w:abstractNumId w:val="23"/>
  </w:num>
  <w:num w:numId="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bordersDoNotSurroundHeader w:val="1"/>
  <w:bordersDoNotSurroundFooter w:val="1"/>
  <w:attachedTemplate r:id="rId1"/>
  <w:documentProtection w:edit="forms" w:enforcement="1" w:cryptProviderType="rsaFull" w:cryptAlgorithmClass="hash" w:cryptAlgorithmType="typeAny" w:cryptAlgorithmSid="4" w:cryptSpinCount="0" w:hash="Vus1hpYnIg9NvWcWq8E9IcRzqs0=" w:salt="ESkoNFdZGZN3/L4+ISYWUg=="/>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Y1NDNlOGVhNjE3ZGQwNzQ0NTUxNWYzM2I1OTdmMGIifQ=="/>
  </w:docVars>
  <w:rsids>
    <w:rsidRoot w:val="144B52C6"/>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6D61"/>
    <w:rsid w:val="003D79C6"/>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982"/>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3660F"/>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97A6DD5"/>
    <w:rsid w:val="12262215"/>
    <w:rsid w:val="144B52C6"/>
    <w:rsid w:val="2A332CA2"/>
    <w:rsid w:val="384A04EB"/>
    <w:rsid w:val="3E06359F"/>
    <w:rsid w:val="3EBC077D"/>
    <w:rsid w:val="4C9C14A4"/>
    <w:rsid w:val="529D4C64"/>
    <w:rsid w:val="5BFB23D3"/>
    <w:rsid w:val="5D984785"/>
    <w:rsid w:val="63C107C6"/>
    <w:rsid w:val="65F77B57"/>
    <w:rsid w:val="6EAC541C"/>
    <w:rsid w:val="77E15B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qFormat/>
    <w:uiPriority w:val="0"/>
    <w:pPr>
      <w:keepNext/>
      <w:keepLines/>
      <w:spacing w:before="260" w:after="260" w:line="416" w:lineRule="auto"/>
      <w:outlineLvl w:val="2"/>
    </w:pPr>
    <w:rPr>
      <w:b/>
      <w:bCs/>
      <w:sz w:val="32"/>
      <w:szCs w:val="32"/>
    </w:rPr>
  </w:style>
  <w:style w:type="paragraph" w:styleId="5">
    <w:name w:val="heading 4"/>
    <w:basedOn w:val="1"/>
    <w:next w:val="1"/>
    <w:link w:val="3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39"/>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1"/>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6"/>
    <w:qFormat/>
    <w:uiPriority w:val="0"/>
    <w:pPr>
      <w:spacing w:after="120"/>
    </w:pPr>
  </w:style>
  <w:style w:type="paragraph" w:styleId="14">
    <w:name w:val="toc 5"/>
    <w:basedOn w:val="1"/>
    <w:next w:val="1"/>
    <w:unhideWhenUsed/>
    <w:qFormat/>
    <w:uiPriority w:val="39"/>
    <w:pPr>
      <w:ind w:left="839"/>
    </w:pPr>
    <w:rPr>
      <w:rFonts w:ascii="宋体"/>
    </w:rPr>
  </w:style>
  <w:style w:type="paragraph" w:styleId="15">
    <w:name w:val="toc 3"/>
    <w:basedOn w:val="1"/>
    <w:next w:val="1"/>
    <w:unhideWhenUsed/>
    <w:qFormat/>
    <w:uiPriority w:val="39"/>
    <w:pPr>
      <w:spacing w:line="300" w:lineRule="exact"/>
      <w:ind w:left="420"/>
    </w:pPr>
    <w:rPr>
      <w:rFonts w:ascii="宋体"/>
    </w:rPr>
  </w:style>
  <w:style w:type="paragraph" w:styleId="16">
    <w:name w:val="Balloon Text"/>
    <w:basedOn w:val="1"/>
    <w:link w:val="45"/>
    <w:semiHidden/>
    <w:unhideWhenUsed/>
    <w:qFormat/>
    <w:uiPriority w:val="99"/>
    <w:rPr>
      <w:sz w:val="18"/>
      <w:szCs w:val="18"/>
    </w:rPr>
  </w:style>
  <w:style w:type="paragraph" w:styleId="17">
    <w:name w:val="footer"/>
    <w:basedOn w:val="1"/>
    <w:link w:val="44"/>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3"/>
    <w:qFormat/>
    <w:uiPriority w:val="99"/>
    <w:pPr>
      <w:tabs>
        <w:tab w:val="center" w:pos="4153"/>
        <w:tab w:val="right" w:pos="8306"/>
      </w:tabs>
      <w:adjustRightInd/>
      <w:snapToGrid w:val="0"/>
      <w:jc w:val="center"/>
    </w:pPr>
    <w:rPr>
      <w:sz w:val="18"/>
      <w:szCs w:val="18"/>
    </w:rPr>
  </w:style>
  <w:style w:type="paragraph" w:styleId="19">
    <w:name w:val="toc 1"/>
    <w:basedOn w:val="1"/>
    <w:next w:val="1"/>
    <w:unhideWhenUsed/>
    <w:qFormat/>
    <w:uiPriority w:val="39"/>
    <w:rPr>
      <w:rFonts w:ascii="宋体"/>
    </w:rPr>
  </w:style>
  <w:style w:type="paragraph" w:styleId="20">
    <w:name w:val="toc 4"/>
    <w:basedOn w:val="1"/>
    <w:next w:val="1"/>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99"/>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unhideWhenUsed/>
    <w:qFormat/>
    <w:uiPriority w:val="39"/>
    <w:pPr>
      <w:tabs>
        <w:tab w:val="right" w:leader="dot" w:pos="9344"/>
      </w:tabs>
      <w:spacing w:line="300" w:lineRule="exact"/>
      <w:ind w:left="210"/>
    </w:pPr>
    <w:rPr>
      <w:rFonts w:ascii="宋体"/>
    </w:rPr>
  </w:style>
  <w:style w:type="paragraph" w:styleId="25">
    <w:name w:val="Title"/>
    <w:basedOn w:val="1"/>
    <w:link w:val="48"/>
    <w:qFormat/>
    <w:uiPriority w:val="0"/>
    <w:pPr>
      <w:spacing w:before="240" w:after="60"/>
      <w:jc w:val="center"/>
      <w:outlineLvl w:val="0"/>
    </w:pPr>
    <w:rPr>
      <w:rFonts w:ascii="Arial" w:hAnsi="Arial" w:cs="Arial"/>
      <w:b/>
      <w:bCs/>
      <w:sz w:val="32"/>
      <w:szCs w:val="32"/>
    </w:rPr>
  </w:style>
  <w:style w:type="table" w:styleId="27">
    <w:name w:val="Table Grid"/>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uiPriority w:val="22"/>
    <w:rPr>
      <w:b/>
      <w:bCs/>
    </w:rPr>
  </w:style>
  <w:style w:type="character" w:styleId="30">
    <w:name w:val="page number"/>
    <w:qFormat/>
    <w:uiPriority w:val="0"/>
    <w:rPr>
      <w:rFonts w:ascii="宋体" w:hAnsi="Times New Roman" w:eastAsia="宋体"/>
      <w:sz w:val="18"/>
    </w:rPr>
  </w:style>
  <w:style w:type="character" w:styleId="31">
    <w:name w:val="Emphasis"/>
    <w:qFormat/>
    <w:uiPriority w:val="20"/>
    <w:rPr>
      <w:i/>
      <w:iCs/>
    </w:rPr>
  </w:style>
  <w:style w:type="character" w:styleId="32">
    <w:name w:val="Hyperlink"/>
    <w:qFormat/>
    <w:uiPriority w:val="99"/>
    <w:rPr>
      <w:rFonts w:ascii="宋体" w:hAnsi="Times New Roman" w:eastAsia="宋体"/>
      <w:color w:val="auto"/>
      <w:spacing w:val="0"/>
      <w:w w:val="100"/>
      <w:position w:val="0"/>
      <w:sz w:val="21"/>
      <w:u w:val="none"/>
      <w:vertAlign w:val="baseline"/>
    </w:rPr>
  </w:style>
  <w:style w:type="character" w:styleId="33">
    <w:name w:val="footnote reference"/>
    <w:semiHidden/>
    <w:qFormat/>
    <w:uiPriority w:val="0"/>
    <w:rPr>
      <w:rFonts w:ascii="宋体" w:hAnsi="宋体" w:eastAsia="宋体" w:cs="Times New Roman"/>
      <w:spacing w:val="0"/>
      <w:sz w:val="18"/>
      <w:vertAlign w:val="superscript"/>
    </w:rPr>
  </w:style>
  <w:style w:type="character" w:customStyle="1" w:styleId="34">
    <w:name w:val="标题 1 字符"/>
    <w:link w:val="2"/>
    <w:qFormat/>
    <w:uiPriority w:val="0"/>
    <w:rPr>
      <w:b/>
      <w:bCs/>
      <w:kern w:val="44"/>
      <w:sz w:val="44"/>
      <w:szCs w:val="44"/>
    </w:rPr>
  </w:style>
  <w:style w:type="character" w:customStyle="1" w:styleId="35">
    <w:name w:val="标题 2 字符"/>
    <w:link w:val="3"/>
    <w:qFormat/>
    <w:uiPriority w:val="0"/>
    <w:rPr>
      <w:rFonts w:ascii="Arial" w:hAnsi="Arial" w:eastAsia="黑体"/>
      <w:b/>
      <w:bCs/>
      <w:kern w:val="2"/>
      <w:sz w:val="32"/>
      <w:szCs w:val="32"/>
    </w:rPr>
  </w:style>
  <w:style w:type="character" w:customStyle="1" w:styleId="36">
    <w:name w:val="标题 3 字符"/>
    <w:link w:val="4"/>
    <w:qFormat/>
    <w:uiPriority w:val="0"/>
    <w:rPr>
      <w:b/>
      <w:bCs/>
      <w:kern w:val="2"/>
      <w:sz w:val="32"/>
      <w:szCs w:val="32"/>
    </w:rPr>
  </w:style>
  <w:style w:type="character" w:customStyle="1" w:styleId="37">
    <w:name w:val="标题 4 字符"/>
    <w:link w:val="5"/>
    <w:qFormat/>
    <w:uiPriority w:val="0"/>
    <w:rPr>
      <w:rFonts w:ascii="Arial" w:hAnsi="Arial" w:eastAsia="黑体"/>
      <w:b/>
      <w:bCs/>
      <w:kern w:val="2"/>
      <w:sz w:val="28"/>
      <w:szCs w:val="28"/>
    </w:rPr>
  </w:style>
  <w:style w:type="character" w:customStyle="1" w:styleId="38">
    <w:name w:val="标题 5 字符"/>
    <w:link w:val="6"/>
    <w:qFormat/>
    <w:uiPriority w:val="0"/>
    <w:rPr>
      <w:b/>
      <w:bCs/>
      <w:kern w:val="2"/>
      <w:sz w:val="28"/>
      <w:szCs w:val="28"/>
    </w:rPr>
  </w:style>
  <w:style w:type="character" w:customStyle="1" w:styleId="39">
    <w:name w:val="标题 6 字符"/>
    <w:link w:val="7"/>
    <w:qFormat/>
    <w:uiPriority w:val="0"/>
    <w:rPr>
      <w:rFonts w:ascii="Arial" w:hAnsi="Arial" w:eastAsia="黑体"/>
      <w:b/>
      <w:bCs/>
      <w:kern w:val="2"/>
      <w:sz w:val="24"/>
      <w:szCs w:val="24"/>
    </w:rPr>
  </w:style>
  <w:style w:type="character" w:customStyle="1" w:styleId="40">
    <w:name w:val="标题 7 字符"/>
    <w:link w:val="8"/>
    <w:qFormat/>
    <w:uiPriority w:val="0"/>
    <w:rPr>
      <w:b/>
      <w:bCs/>
      <w:kern w:val="2"/>
      <w:sz w:val="24"/>
      <w:szCs w:val="24"/>
    </w:rPr>
  </w:style>
  <w:style w:type="character" w:customStyle="1" w:styleId="41">
    <w:name w:val="标题 8 字符"/>
    <w:link w:val="9"/>
    <w:qFormat/>
    <w:uiPriority w:val="0"/>
    <w:rPr>
      <w:rFonts w:ascii="Arial" w:hAnsi="Arial" w:eastAsia="黑体"/>
      <w:kern w:val="2"/>
      <w:sz w:val="24"/>
      <w:szCs w:val="24"/>
    </w:rPr>
  </w:style>
  <w:style w:type="character" w:customStyle="1" w:styleId="42">
    <w:name w:val="标题 9 字符"/>
    <w:link w:val="10"/>
    <w:qFormat/>
    <w:uiPriority w:val="0"/>
    <w:rPr>
      <w:rFonts w:ascii="Arial" w:hAnsi="Arial" w:eastAsia="黑体"/>
      <w:kern w:val="2"/>
      <w:sz w:val="21"/>
      <w:szCs w:val="21"/>
    </w:rPr>
  </w:style>
  <w:style w:type="character" w:customStyle="1" w:styleId="43">
    <w:name w:val="页眉 字符"/>
    <w:link w:val="18"/>
    <w:qFormat/>
    <w:uiPriority w:val="99"/>
    <w:rPr>
      <w:kern w:val="2"/>
      <w:sz w:val="18"/>
      <w:szCs w:val="18"/>
    </w:rPr>
  </w:style>
  <w:style w:type="character" w:customStyle="1" w:styleId="44">
    <w:name w:val="页脚 字符"/>
    <w:link w:val="17"/>
    <w:qFormat/>
    <w:uiPriority w:val="99"/>
    <w:rPr>
      <w:rFonts w:ascii="宋体"/>
      <w:kern w:val="2"/>
      <w:sz w:val="18"/>
      <w:szCs w:val="18"/>
    </w:rPr>
  </w:style>
  <w:style w:type="character" w:customStyle="1" w:styleId="45">
    <w:name w:val="批注框文本 字符"/>
    <w:link w:val="16"/>
    <w:semiHidden/>
    <w:qFormat/>
    <w:uiPriority w:val="99"/>
    <w:rPr>
      <w:kern w:val="2"/>
      <w:sz w:val="18"/>
      <w:szCs w:val="18"/>
    </w:rPr>
  </w:style>
  <w:style w:type="paragraph" w:styleId="46">
    <w:name w:val="Quote"/>
    <w:basedOn w:val="1"/>
    <w:next w:val="1"/>
    <w:link w:val="47"/>
    <w:qFormat/>
    <w:uiPriority w:val="29"/>
    <w:rPr>
      <w:i/>
      <w:iCs/>
      <w:color w:val="000000"/>
    </w:rPr>
  </w:style>
  <w:style w:type="character" w:customStyle="1" w:styleId="47">
    <w:name w:val="引用 字符"/>
    <w:link w:val="46"/>
    <w:qFormat/>
    <w:uiPriority w:val="29"/>
    <w:rPr>
      <w:i/>
      <w:iCs/>
      <w:color w:val="000000"/>
      <w:kern w:val="2"/>
      <w:sz w:val="21"/>
      <w:szCs w:val="21"/>
    </w:rPr>
  </w:style>
  <w:style w:type="character" w:customStyle="1" w:styleId="48">
    <w:name w:val="标题 字符"/>
    <w:link w:val="25"/>
    <w:qFormat/>
    <w:uiPriority w:val="0"/>
    <w:rPr>
      <w:rFonts w:ascii="Arial" w:hAnsi="Arial" w:cs="Arial"/>
      <w:b/>
      <w:bCs/>
      <w:kern w:val="2"/>
      <w:sz w:val="32"/>
      <w:szCs w:val="32"/>
    </w:rPr>
  </w:style>
  <w:style w:type="paragraph" w:customStyle="1" w:styleId="4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2">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3">
    <w:name w:val="标准书眉一"/>
    <w:qFormat/>
    <w:uiPriority w:val="0"/>
    <w:pPr>
      <w:jc w:val="both"/>
    </w:pPr>
    <w:rPr>
      <w:rFonts w:ascii="Times New Roman" w:hAnsi="Times New Roman" w:eastAsia="宋体" w:cs="Times New Roman"/>
      <w:lang w:val="en-US" w:eastAsia="zh-CN" w:bidi="ar-SA"/>
    </w:rPr>
  </w:style>
  <w:style w:type="paragraph" w:customStyle="1" w:styleId="54">
    <w:name w:val="标准文件_ICS"/>
    <w:basedOn w:val="1"/>
    <w:qFormat/>
    <w:uiPriority w:val="0"/>
    <w:pPr>
      <w:spacing w:line="0" w:lineRule="atLeast"/>
    </w:pPr>
    <w:rPr>
      <w:rFonts w:ascii="黑体" w:hAnsi="宋体" w:eastAsia="黑体"/>
    </w:rPr>
  </w:style>
  <w:style w:type="paragraph" w:customStyle="1" w:styleId="55">
    <w:name w:val="标准文件_标准正文"/>
    <w:basedOn w:val="1"/>
    <w:next w:val="56"/>
    <w:qFormat/>
    <w:uiPriority w:val="0"/>
    <w:pPr>
      <w:snapToGrid w:val="0"/>
      <w:ind w:firstLine="200" w:firstLineChars="200"/>
    </w:pPr>
    <w:rPr>
      <w:kern w:val="0"/>
    </w:rPr>
  </w:style>
  <w:style w:type="paragraph" w:customStyle="1" w:styleId="56">
    <w:name w:val="标准文件_段"/>
    <w:link w:val="184"/>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标准文件_版本"/>
    <w:basedOn w:val="55"/>
    <w:qFormat/>
    <w:uiPriority w:val="0"/>
    <w:pPr>
      <w:adjustRightInd/>
      <w:snapToGrid/>
      <w:ind w:firstLine="0" w:firstLineChars="0"/>
    </w:pPr>
    <w:rPr>
      <w:rFonts w:ascii="宋体" w:hAnsi="宋体"/>
      <w:kern w:val="2"/>
    </w:rPr>
  </w:style>
  <w:style w:type="paragraph" w:customStyle="1" w:styleId="58">
    <w:name w:val="标准文件_标准部门"/>
    <w:basedOn w:val="1"/>
    <w:qFormat/>
    <w:uiPriority w:val="0"/>
    <w:pPr>
      <w:jc w:val="center"/>
    </w:pPr>
    <w:rPr>
      <w:rFonts w:ascii="黑体" w:eastAsia="黑体"/>
      <w:kern w:val="0"/>
      <w:sz w:val="44"/>
    </w:rPr>
  </w:style>
  <w:style w:type="paragraph" w:customStyle="1" w:styleId="59">
    <w:name w:val="标准文件_标准代替"/>
    <w:basedOn w:val="1"/>
    <w:next w:val="1"/>
    <w:qFormat/>
    <w:uiPriority w:val="0"/>
    <w:pPr>
      <w:spacing w:line="310" w:lineRule="exact"/>
      <w:jc w:val="right"/>
    </w:pPr>
    <w:rPr>
      <w:rFonts w:ascii="宋体" w:hAnsi="宋体"/>
      <w:kern w:val="0"/>
    </w:rPr>
  </w:style>
  <w:style w:type="paragraph" w:customStyle="1" w:styleId="60">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1">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qFormat/>
    <w:uiPriority w:val="0"/>
    <w:pPr>
      <w:jc w:val="left"/>
    </w:pPr>
  </w:style>
  <w:style w:type="paragraph" w:customStyle="1" w:styleId="63">
    <w:name w:val="标准文件_参考文献标题"/>
    <w:basedOn w:val="1"/>
    <w:next w:val="1"/>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4">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6">
    <w:name w:val="标准文件_发布"/>
    <w:qFormat/>
    <w:uiPriority w:val="0"/>
    <w:rPr>
      <w:rFonts w:ascii="黑体" w:eastAsia="黑体"/>
      <w:spacing w:val="0"/>
      <w:w w:val="100"/>
      <w:position w:val="3"/>
      <w:sz w:val="28"/>
    </w:rPr>
  </w:style>
  <w:style w:type="paragraph" w:customStyle="1" w:styleId="67">
    <w:name w:val="标准文件_方框数字列项"/>
    <w:basedOn w:val="56"/>
    <w:qFormat/>
    <w:uiPriority w:val="0"/>
    <w:pPr>
      <w:numPr>
        <w:ilvl w:val="0"/>
        <w:numId w:val="3"/>
      </w:numPr>
      <w:ind w:firstLine="0" w:firstLineChars="0"/>
    </w:pPr>
  </w:style>
  <w:style w:type="paragraph" w:customStyle="1" w:styleId="68">
    <w:name w:val="标准文件_封面标准编号"/>
    <w:basedOn w:val="1"/>
    <w:next w:val="59"/>
    <w:qFormat/>
    <w:uiPriority w:val="0"/>
    <w:pPr>
      <w:spacing w:line="310" w:lineRule="exact"/>
      <w:jc w:val="right"/>
    </w:pPr>
    <w:rPr>
      <w:rFonts w:ascii="黑体" w:eastAsia="黑体"/>
      <w:kern w:val="0"/>
      <w:sz w:val="28"/>
    </w:rPr>
  </w:style>
  <w:style w:type="paragraph" w:customStyle="1" w:styleId="69">
    <w:name w:val="标准文件_封面标准分类号"/>
    <w:basedOn w:val="1"/>
    <w:qFormat/>
    <w:uiPriority w:val="0"/>
    <w:rPr>
      <w:rFonts w:ascii="黑体" w:eastAsia="黑体"/>
      <w:b/>
      <w:kern w:val="0"/>
      <w:sz w:val="28"/>
    </w:rPr>
  </w:style>
  <w:style w:type="paragraph" w:customStyle="1" w:styleId="70">
    <w:name w:val="标准文件_封面标准名称"/>
    <w:basedOn w:val="1"/>
    <w:qFormat/>
    <w:uiPriority w:val="0"/>
    <w:pPr>
      <w:spacing w:line="240" w:lineRule="auto"/>
      <w:jc w:val="center"/>
    </w:pPr>
    <w:rPr>
      <w:rFonts w:ascii="黑体" w:eastAsia="黑体"/>
      <w:kern w:val="0"/>
      <w:sz w:val="52"/>
    </w:rPr>
  </w:style>
  <w:style w:type="paragraph" w:customStyle="1" w:styleId="71">
    <w:name w:val="标准文件_封面标准英文名称"/>
    <w:basedOn w:val="1"/>
    <w:qFormat/>
    <w:uiPriority w:val="0"/>
    <w:pPr>
      <w:spacing w:line="240" w:lineRule="auto"/>
      <w:jc w:val="center"/>
    </w:pPr>
    <w:rPr>
      <w:rFonts w:ascii="黑体" w:eastAsia="黑体"/>
      <w:b/>
      <w:sz w:val="28"/>
    </w:rPr>
  </w:style>
  <w:style w:type="paragraph" w:customStyle="1" w:styleId="72">
    <w:name w:val="标准文件_封面发布日期"/>
    <w:basedOn w:val="1"/>
    <w:qFormat/>
    <w:uiPriority w:val="0"/>
    <w:pPr>
      <w:spacing w:line="310" w:lineRule="exact"/>
    </w:pPr>
    <w:rPr>
      <w:rFonts w:ascii="黑体" w:eastAsia="黑体"/>
      <w:kern w:val="0"/>
      <w:sz w:val="28"/>
    </w:rPr>
  </w:style>
  <w:style w:type="paragraph" w:customStyle="1" w:styleId="73">
    <w:name w:val="标准文件_封面密级"/>
    <w:basedOn w:val="1"/>
    <w:qFormat/>
    <w:uiPriority w:val="0"/>
    <w:rPr>
      <w:rFonts w:eastAsia="黑体"/>
      <w:sz w:val="32"/>
    </w:rPr>
  </w:style>
  <w:style w:type="paragraph" w:customStyle="1" w:styleId="74">
    <w:name w:val="标准文件_封面实施日期"/>
    <w:basedOn w:val="1"/>
    <w:qFormat/>
    <w:uiPriority w:val="0"/>
    <w:pPr>
      <w:spacing w:line="310" w:lineRule="exact"/>
      <w:jc w:val="right"/>
    </w:pPr>
    <w:rPr>
      <w:rFonts w:ascii="黑体" w:eastAsia="黑体"/>
      <w:sz w:val="28"/>
    </w:rPr>
  </w:style>
  <w:style w:type="paragraph" w:customStyle="1" w:styleId="75">
    <w:name w:val="标准文件_封面抬头"/>
    <w:basedOn w:val="56"/>
    <w:qFormat/>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qFormat/>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1">
    <w:name w:val="标准文件_附录三级条标题"/>
    <w:next w:val="56"/>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4">
    <w:name w:val="标准文件_附录五级条标题"/>
    <w:next w:val="56"/>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字符"/>
    <w:link w:val="13"/>
    <w:qFormat/>
    <w:uiPriority w:val="0"/>
    <w:rPr>
      <w:kern w:val="2"/>
      <w:sz w:val="21"/>
      <w:szCs w:val="21"/>
    </w:rPr>
  </w:style>
  <w:style w:type="paragraph" w:customStyle="1" w:styleId="87">
    <w:name w:val="标准文件_附录章标题"/>
    <w:next w:val="56"/>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qFormat/>
    <w:uiPriority w:val="0"/>
    <w:pPr>
      <w:ind w:left="488" w:leftChars="200" w:hanging="289" w:hangingChars="290"/>
    </w:pPr>
  </w:style>
  <w:style w:type="paragraph" w:customStyle="1" w:styleId="89">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qFormat/>
    <w:uiPriority w:val="0"/>
    <w:pPr>
      <w:spacing w:line="460" w:lineRule="exact"/>
      <w:ind w:left="0" w:firstLine="0"/>
    </w:pPr>
  </w:style>
  <w:style w:type="paragraph" w:customStyle="1" w:styleId="91">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2">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3">
    <w:name w:val="标准文件_破折号列项（二级）"/>
    <w:basedOn w:val="92"/>
    <w:qFormat/>
    <w:uiPriority w:val="0"/>
    <w:pPr>
      <w:numPr>
        <w:numId w:val="10"/>
      </w:numPr>
    </w:pPr>
  </w:style>
  <w:style w:type="paragraph" w:customStyle="1" w:styleId="94">
    <w:name w:val="标准文件_三级条标题"/>
    <w:basedOn w:val="65"/>
    <w:next w:val="56"/>
    <w:qFormat/>
    <w:uiPriority w:val="0"/>
    <w:pPr>
      <w:widowControl/>
      <w:numPr>
        <w:ilvl w:val="4"/>
      </w:numPr>
      <w:outlineLvl w:val="3"/>
    </w:pPr>
  </w:style>
  <w:style w:type="character" w:customStyle="1" w:styleId="95">
    <w:name w:val="Subtle Reference"/>
    <w:qFormat/>
    <w:uiPriority w:val="31"/>
    <w:rPr>
      <w:smallCaps/>
      <w:color w:val="C0504D"/>
      <w:u w:val="single"/>
    </w:rPr>
  </w:style>
  <w:style w:type="paragraph" w:customStyle="1" w:styleId="96">
    <w:name w:val="标准文件_示例后续"/>
    <w:basedOn w:val="1"/>
    <w:qFormat/>
    <w:uiPriority w:val="0"/>
    <w:pPr>
      <w:adjustRightInd/>
      <w:spacing w:line="240" w:lineRule="auto"/>
      <w:ind w:firstLine="200" w:firstLineChars="200"/>
    </w:pPr>
    <w:rPr>
      <w:sz w:val="18"/>
      <w:szCs w:val="24"/>
    </w:rPr>
  </w:style>
  <w:style w:type="paragraph" w:customStyle="1" w:styleId="97">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99">
    <w:name w:val="脚注文本 字符"/>
    <w:link w:val="21"/>
    <w:semiHidden/>
    <w:qFormat/>
    <w:uiPriority w:val="0"/>
    <w:rPr>
      <w:rFonts w:ascii="宋体"/>
      <w:kern w:val="2"/>
      <w:sz w:val="18"/>
      <w:szCs w:val="18"/>
    </w:rPr>
  </w:style>
  <w:style w:type="paragraph" w:customStyle="1" w:styleId="100">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qFormat/>
    <w:uiPriority w:val="0"/>
    <w:pPr>
      <w:numPr>
        <w:ilvl w:val="0"/>
        <w:numId w:val="12"/>
      </w:numPr>
      <w:spacing w:line="240" w:lineRule="auto"/>
      <w:jc w:val="left"/>
    </w:pPr>
    <w:rPr>
      <w:rFonts w:ascii="宋体" w:hAnsi="宋体"/>
      <w:sz w:val="18"/>
    </w:rPr>
  </w:style>
  <w:style w:type="character" w:customStyle="1" w:styleId="102">
    <w:name w:val="标准文件_图表脚注内容"/>
    <w:qFormat/>
    <w:uiPriority w:val="0"/>
    <w:rPr>
      <w:rFonts w:ascii="宋体" w:hAnsi="宋体" w:eastAsia="宋体" w:cs="Times New Roman"/>
      <w:spacing w:val="0"/>
      <w:sz w:val="18"/>
      <w:vertAlign w:val="superscript"/>
    </w:rPr>
  </w:style>
  <w:style w:type="paragraph" w:customStyle="1" w:styleId="103">
    <w:name w:val="标准文件_五级条标题"/>
    <w:next w:val="56"/>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qFormat/>
    <w:uiPriority w:val="0"/>
    <w:pPr>
      <w:numPr>
        <w:ilvl w:val="2"/>
      </w:numPr>
      <w:spacing w:before="50" w:beforeLines="50" w:after="50" w:afterLines="50"/>
      <w:outlineLvl w:val="1"/>
    </w:pPr>
  </w:style>
  <w:style w:type="paragraph" w:customStyle="1" w:styleId="106">
    <w:name w:val="标准文件_一致程度"/>
    <w:basedOn w:val="1"/>
    <w:qFormat/>
    <w:uiPriority w:val="0"/>
    <w:pPr>
      <w:spacing w:line="440" w:lineRule="exact"/>
      <w:jc w:val="center"/>
    </w:pPr>
    <w:rPr>
      <w:sz w:val="28"/>
    </w:rPr>
  </w:style>
  <w:style w:type="paragraph" w:customStyle="1" w:styleId="107">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qFormat/>
    <w:uiPriority w:val="0"/>
    <w:pPr>
      <w:widowControl/>
      <w:adjustRightInd/>
      <w:snapToGrid/>
      <w:spacing w:line="240" w:lineRule="auto"/>
      <w:ind w:left="79" w:hanging="79" w:hangingChars="80"/>
    </w:pPr>
    <w:rPr>
      <w:rFonts w:ascii="宋体" w:hAnsi="宋体"/>
    </w:rPr>
  </w:style>
  <w:style w:type="paragraph" w:customStyle="1" w:styleId="109">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0">
    <w:name w:val="标准文件_英文注："/>
    <w:basedOn w:val="1"/>
    <w:next w:val="56"/>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6"/>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qFormat/>
    <w:uiPriority w:val="0"/>
    <w:pPr>
      <w:tabs>
        <w:tab w:val="center" w:pos="4678"/>
        <w:tab w:val="right" w:leader="middleDot" w:pos="9356"/>
      </w:tabs>
      <w:spacing w:line="240" w:lineRule="auto"/>
    </w:pPr>
    <w:rPr>
      <w:rFonts w:ascii="宋体" w:hAnsi="宋体"/>
    </w:rPr>
  </w:style>
  <w:style w:type="paragraph" w:customStyle="1" w:styleId="114">
    <w:name w:val="标准文件_正文图标题"/>
    <w:next w:val="56"/>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英文表标题"/>
    <w:next w:val="56"/>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8">
    <w:name w:val="二级无标题条"/>
    <w:basedOn w:val="1"/>
    <w:qFormat/>
    <w:uiPriority w:val="0"/>
    <w:pPr>
      <w:numPr>
        <w:ilvl w:val="3"/>
        <w:numId w:val="20"/>
      </w:numPr>
      <w:adjustRightInd/>
      <w:spacing w:line="240" w:lineRule="auto"/>
    </w:pPr>
    <w:rPr>
      <w:rFonts w:ascii="宋体" w:hAnsi="宋体"/>
      <w:szCs w:val="24"/>
    </w:rPr>
  </w:style>
  <w:style w:type="paragraph" w:customStyle="1" w:styleId="119">
    <w:name w:val="发布部门"/>
    <w:next w:val="56"/>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qFormat/>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6"/>
    <w:qFormat/>
    <w:uiPriority w:val="0"/>
    <w:pPr>
      <w:outlineLvl w:val="4"/>
    </w:pPr>
  </w:style>
  <w:style w:type="paragraph" w:customStyle="1" w:styleId="130">
    <w:name w:val="附录四级无标题条"/>
    <w:basedOn w:val="129"/>
    <w:next w:val="56"/>
    <w:qFormat/>
    <w:uiPriority w:val="0"/>
    <w:pPr>
      <w:outlineLvl w:val="5"/>
    </w:pPr>
  </w:style>
  <w:style w:type="paragraph" w:customStyle="1" w:styleId="131">
    <w:name w:val="附录图"/>
    <w:next w:val="56"/>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3">
    <w:name w:val="附录五级无标题条"/>
    <w:basedOn w:val="130"/>
    <w:next w:val="56"/>
    <w:qFormat/>
    <w:uiPriority w:val="0"/>
    <w:pPr>
      <w:outlineLvl w:val="6"/>
    </w:pPr>
  </w:style>
  <w:style w:type="paragraph" w:customStyle="1" w:styleId="134">
    <w:name w:val="附录性质"/>
    <w:basedOn w:val="1"/>
    <w:qFormat/>
    <w:uiPriority w:val="0"/>
    <w:pPr>
      <w:widowControl/>
      <w:adjustRightInd/>
      <w:jc w:val="center"/>
    </w:pPr>
    <w:rPr>
      <w:rFonts w:ascii="黑体" w:eastAsia="黑体"/>
    </w:rPr>
  </w:style>
  <w:style w:type="paragraph" w:customStyle="1" w:styleId="135">
    <w:name w:val="附录一级无标题条"/>
    <w:basedOn w:val="87"/>
    <w:next w:val="56"/>
    <w:qFormat/>
    <w:uiPriority w:val="0"/>
    <w:pPr>
      <w:autoSpaceDN w:val="0"/>
      <w:outlineLvl w:val="2"/>
    </w:pPr>
    <w:rPr>
      <w:rFonts w:ascii="宋体" w:hAnsi="宋体" w:eastAsia="宋体"/>
    </w:rPr>
  </w:style>
  <w:style w:type="character" w:customStyle="1" w:styleId="136">
    <w:name w:val="个人答复风格"/>
    <w:qFormat/>
    <w:uiPriority w:val="0"/>
    <w:rPr>
      <w:rFonts w:ascii="Arial" w:hAnsi="Arial" w:eastAsia="宋体" w:cs="Arial"/>
      <w:color w:val="auto"/>
      <w:spacing w:val="0"/>
      <w:sz w:val="20"/>
    </w:rPr>
  </w:style>
  <w:style w:type="character" w:customStyle="1" w:styleId="137">
    <w:name w:val="个人撰写风格"/>
    <w:qFormat/>
    <w:uiPriority w:val="0"/>
    <w:rPr>
      <w:rFonts w:ascii="Arial" w:hAnsi="Arial" w:eastAsia="宋体" w:cs="Arial"/>
      <w:color w:val="auto"/>
      <w:spacing w:val="0"/>
      <w:sz w:val="20"/>
    </w:rPr>
  </w:style>
  <w:style w:type="paragraph" w:customStyle="1" w:styleId="138">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qFormat/>
    <w:uiPriority w:val="0"/>
    <w:pPr>
      <w:tabs>
        <w:tab w:val="left" w:pos="840"/>
      </w:tabs>
    </w:pPr>
  </w:style>
  <w:style w:type="paragraph" w:customStyle="1" w:styleId="14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semiHidden/>
    <w:qFormat/>
    <w:uiPriority w:val="0"/>
    <w:pPr>
      <w:adjustRightInd/>
      <w:spacing w:line="240" w:lineRule="auto"/>
      <w:jc w:val="left"/>
    </w:pPr>
    <w:rPr>
      <w:bCs/>
      <w:iCs/>
    </w:rPr>
  </w:style>
  <w:style w:type="paragraph" w:customStyle="1" w:styleId="143">
    <w:name w:val="目录 31"/>
    <w:basedOn w:val="1"/>
    <w:next w:val="1"/>
    <w:semiHidden/>
    <w:qFormat/>
    <w:uiPriority w:val="0"/>
    <w:pPr>
      <w:spacing w:line="240" w:lineRule="auto"/>
    </w:pPr>
    <w:rPr>
      <w:rFonts w:ascii="宋体" w:hAnsi="宋体"/>
      <w:iCs/>
    </w:rPr>
  </w:style>
  <w:style w:type="paragraph" w:customStyle="1" w:styleId="144">
    <w:name w:val="目录 41"/>
    <w:basedOn w:val="1"/>
    <w:next w:val="1"/>
    <w:semiHidden/>
    <w:qFormat/>
    <w:uiPriority w:val="0"/>
    <w:pPr>
      <w:adjustRightInd/>
      <w:spacing w:line="240" w:lineRule="auto"/>
      <w:jc w:val="left"/>
    </w:pPr>
  </w:style>
  <w:style w:type="paragraph" w:customStyle="1" w:styleId="145">
    <w:name w:val="目录 51"/>
    <w:basedOn w:val="1"/>
    <w:next w:val="1"/>
    <w:semiHidden/>
    <w:qFormat/>
    <w:uiPriority w:val="0"/>
    <w:pPr>
      <w:spacing w:line="240" w:lineRule="auto"/>
    </w:pPr>
    <w:rPr>
      <w:rFonts w:ascii="宋体" w:hAnsi="宋体"/>
    </w:rPr>
  </w:style>
  <w:style w:type="paragraph" w:customStyle="1" w:styleId="146">
    <w:name w:val="目录 61"/>
    <w:basedOn w:val="1"/>
    <w:next w:val="1"/>
    <w:semiHidden/>
    <w:qFormat/>
    <w:uiPriority w:val="0"/>
    <w:pPr>
      <w:adjustRightInd/>
      <w:spacing w:line="240" w:lineRule="auto"/>
      <w:jc w:val="left"/>
    </w:pPr>
  </w:style>
  <w:style w:type="paragraph" w:customStyle="1" w:styleId="147">
    <w:name w:val="目录 71"/>
    <w:basedOn w:val="146"/>
    <w:semiHidden/>
    <w:qFormat/>
    <w:uiPriority w:val="0"/>
    <w:pPr>
      <w:ind w:left="1260"/>
    </w:pPr>
  </w:style>
  <w:style w:type="paragraph" w:customStyle="1" w:styleId="148">
    <w:name w:val="目录 81"/>
    <w:basedOn w:val="147"/>
    <w:semiHidden/>
    <w:qFormat/>
    <w:uiPriority w:val="0"/>
    <w:pPr>
      <w:ind w:left="1470"/>
    </w:pPr>
  </w:style>
  <w:style w:type="paragraph" w:customStyle="1" w:styleId="149">
    <w:name w:val="目录 91"/>
    <w:basedOn w:val="148"/>
    <w:semiHidden/>
    <w:qFormat/>
    <w:uiPriority w:val="0"/>
    <w:pPr>
      <w:ind w:left="1680"/>
    </w:pPr>
  </w:style>
  <w:style w:type="paragraph" w:customStyle="1" w:styleId="150">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qFormat/>
    <w:uiPriority w:val="0"/>
    <w:pPr>
      <w:framePr w:wrap="around"/>
      <w:spacing w:line="0" w:lineRule="atLeast"/>
    </w:pPr>
    <w:rPr>
      <w:rFonts w:ascii="黑体" w:eastAsia="黑体"/>
      <w:b w:val="0"/>
    </w:rPr>
  </w:style>
  <w:style w:type="paragraph" w:customStyle="1" w:styleId="152">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4">
    <w:name w:val="实施日期"/>
    <w:basedOn w:val="120"/>
    <w:qFormat/>
    <w:uiPriority w:val="0"/>
    <w:pPr>
      <w:framePr w:hSpace="0" w:wrap="around" w:xAlign="right"/>
      <w:jc w:val="right"/>
    </w:pPr>
  </w:style>
  <w:style w:type="paragraph" w:customStyle="1" w:styleId="155">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6">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qFormat/>
    <w:uiPriority w:val="0"/>
    <w:pPr>
      <w:jc w:val="both"/>
    </w:pPr>
    <w:rPr>
      <w:rFonts w:ascii="宋体" w:hAnsi="宋体" w:eastAsia="宋体" w:cs="Times New Roman"/>
      <w:sz w:val="21"/>
      <w:lang w:val="en-US" w:eastAsia="zh-CN" w:bidi="ar-SA"/>
    </w:rPr>
  </w:style>
  <w:style w:type="paragraph" w:customStyle="1" w:styleId="158">
    <w:name w:val="五级无标题条"/>
    <w:basedOn w:val="1"/>
    <w:qFormat/>
    <w:uiPriority w:val="0"/>
    <w:pPr>
      <w:numPr>
        <w:ilvl w:val="6"/>
        <w:numId w:val="20"/>
      </w:numPr>
      <w:adjustRightInd/>
    </w:pPr>
    <w:rPr>
      <w:szCs w:val="24"/>
    </w:rPr>
  </w:style>
  <w:style w:type="paragraph" w:customStyle="1" w:styleId="159">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0">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qFormat/>
    <w:uiPriority w:val="0"/>
    <w:pPr>
      <w:ind w:left="1406" w:leftChars="0" w:hanging="499" w:firstLineChars="0"/>
    </w:pPr>
  </w:style>
  <w:style w:type="paragraph" w:customStyle="1" w:styleId="162">
    <w:name w:val="标准文件_一级无标题"/>
    <w:basedOn w:val="105"/>
    <w:qFormat/>
    <w:uiPriority w:val="0"/>
    <w:pPr>
      <w:spacing w:before="0" w:beforeLines="0" w:after="0" w:afterLines="0"/>
      <w:outlineLvl w:val="9"/>
    </w:pPr>
    <w:rPr>
      <w:rFonts w:ascii="宋体" w:eastAsia="宋体"/>
    </w:rPr>
  </w:style>
  <w:style w:type="paragraph" w:customStyle="1" w:styleId="163">
    <w:name w:val="标准文件_五级无标题"/>
    <w:basedOn w:val="103"/>
    <w:qFormat/>
    <w:uiPriority w:val="0"/>
    <w:pPr>
      <w:spacing w:before="0" w:beforeLines="0" w:after="0" w:afterLines="0"/>
      <w:outlineLvl w:val="9"/>
    </w:pPr>
    <w:rPr>
      <w:rFonts w:ascii="宋体" w:eastAsia="宋体"/>
    </w:rPr>
  </w:style>
  <w:style w:type="paragraph" w:customStyle="1" w:styleId="164">
    <w:name w:val="标准文件_三级无标题"/>
    <w:basedOn w:val="94"/>
    <w:qFormat/>
    <w:uiPriority w:val="0"/>
    <w:pPr>
      <w:spacing w:before="0" w:beforeLines="0" w:after="0" w:afterLines="0"/>
      <w:outlineLvl w:val="9"/>
    </w:pPr>
    <w:rPr>
      <w:rFonts w:ascii="宋体" w:eastAsia="宋体"/>
    </w:rPr>
  </w:style>
  <w:style w:type="paragraph" w:customStyle="1" w:styleId="165">
    <w:name w:val="标准文件_二级无标题"/>
    <w:basedOn w:val="65"/>
    <w:qFormat/>
    <w:uiPriority w:val="0"/>
    <w:pPr>
      <w:spacing w:before="0" w:beforeLines="0" w:after="0" w:afterLines="0"/>
      <w:outlineLvl w:val="9"/>
    </w:pPr>
    <w:rPr>
      <w:rFonts w:ascii="宋体" w:eastAsia="宋体"/>
    </w:rPr>
  </w:style>
  <w:style w:type="paragraph" w:customStyle="1" w:styleId="166">
    <w:name w:val="标准_四级无标题"/>
    <w:basedOn w:val="98"/>
    <w:next w:val="56"/>
    <w:qFormat/>
    <w:uiPriority w:val="0"/>
    <w:rPr>
      <w:rFonts w:eastAsia="宋体"/>
    </w:rPr>
  </w:style>
  <w:style w:type="paragraph" w:customStyle="1" w:styleId="167">
    <w:name w:val="标准文件_四级无标题"/>
    <w:basedOn w:val="98"/>
    <w:qFormat/>
    <w:uiPriority w:val="0"/>
    <w:pPr>
      <w:spacing w:before="0" w:beforeLines="0" w:after="0" w:afterLines="0"/>
      <w:outlineLvl w:val="9"/>
    </w:pPr>
    <w:rPr>
      <w:rFonts w:ascii="宋体" w:hAnsi="黑体" w:eastAsia="宋体"/>
      <w:szCs w:val="52"/>
    </w:rPr>
  </w:style>
  <w:style w:type="paragraph" w:customStyle="1" w:styleId="168">
    <w:name w:val="标准文件_大写罗马数字编号列项"/>
    <w:basedOn w:val="56"/>
    <w:qFormat/>
    <w:uiPriority w:val="0"/>
    <w:pPr>
      <w:numPr>
        <w:ilvl w:val="0"/>
        <w:numId w:val="23"/>
      </w:numPr>
      <w:ind w:firstLine="0" w:firstLineChars="0"/>
    </w:pPr>
    <w:rPr>
      <w:rFonts w:ascii="Times New Roman" w:cs="Arial"/>
      <w:szCs w:val="28"/>
    </w:rPr>
  </w:style>
  <w:style w:type="paragraph" w:customStyle="1" w:styleId="169">
    <w:name w:val="标准文件_小写罗马数字编号列项"/>
    <w:basedOn w:val="56"/>
    <w:qFormat/>
    <w:uiPriority w:val="0"/>
    <w:pPr>
      <w:numPr>
        <w:ilvl w:val="0"/>
        <w:numId w:val="24"/>
      </w:numPr>
      <w:ind w:firstLine="0" w:firstLineChars="0"/>
    </w:pPr>
    <w:rPr>
      <w:rFonts w:cs="Arial"/>
      <w:szCs w:val="28"/>
    </w:rPr>
  </w:style>
  <w:style w:type="paragraph" w:customStyle="1" w:styleId="170">
    <w:name w:val="标准文件_附录标题"/>
    <w:basedOn w:val="76"/>
    <w:qFormat/>
    <w:uiPriority w:val="0"/>
    <w:pPr>
      <w:numPr>
        <w:numId w:val="0"/>
      </w:numPr>
      <w:spacing w:after="280"/>
      <w:outlineLvl w:val="9"/>
    </w:pPr>
  </w:style>
  <w:style w:type="paragraph" w:customStyle="1" w:styleId="171">
    <w:name w:val="标准文件_二级项"/>
    <w:qFormat/>
    <w:uiPriority w:val="0"/>
    <w:rPr>
      <w:rFonts w:ascii="宋体" w:hAnsi="Times New Roman" w:eastAsia="宋体" w:cs="Times New Roman"/>
      <w:sz w:val="21"/>
      <w:lang w:val="en-US" w:eastAsia="zh-CN" w:bidi="ar-SA"/>
    </w:rPr>
  </w:style>
  <w:style w:type="paragraph" w:customStyle="1" w:styleId="172">
    <w:name w:val="标准文件_三级项"/>
    <w:basedOn w:val="1"/>
    <w:qFormat/>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qFormat/>
    <w:uiPriority w:val="0"/>
    <w:pPr>
      <w:numPr>
        <w:ilvl w:val="0"/>
        <w:numId w:val="25"/>
      </w:numPr>
      <w:adjustRightInd/>
      <w:spacing w:line="240" w:lineRule="auto"/>
    </w:pPr>
    <w:rPr>
      <w:rFonts w:ascii="宋体" w:hAnsi="Times New Roman"/>
      <w:sz w:val="18"/>
      <w:szCs w:val="18"/>
    </w:rPr>
  </w:style>
  <w:style w:type="paragraph" w:customStyle="1" w:styleId="174">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5">
    <w:name w:val="标准文件_索引字母"/>
    <w:next w:val="56"/>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qFormat/>
    <w:uiPriority w:val="0"/>
    <w:pPr>
      <w:ind w:firstLine="0" w:firstLineChars="0"/>
      <w:jc w:val="center"/>
    </w:pPr>
    <w:rPr>
      <w:sz w:val="18"/>
    </w:rPr>
  </w:style>
  <w:style w:type="paragraph" w:customStyle="1" w:styleId="179">
    <w:name w:val="标准文件_注："/>
    <w:next w:val="56"/>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qFormat/>
    <w:uiPriority w:val="0"/>
    <w:pPr>
      <w:ind w:firstLine="420"/>
    </w:pPr>
    <w:rPr>
      <w:sz w:val="18"/>
    </w:rPr>
  </w:style>
  <w:style w:type="paragraph" w:customStyle="1" w:styleId="183">
    <w:name w:val="标准文件_示例×："/>
    <w:basedOn w:val="1"/>
    <w:next w:val="182"/>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6"/>
    <w:qFormat/>
    <w:uiPriority w:val="0"/>
    <w:rPr>
      <w:rFonts w:ascii="宋体" w:hAnsi="Times New Roman"/>
      <w:sz w:val="21"/>
    </w:rPr>
  </w:style>
  <w:style w:type="paragraph" w:customStyle="1" w:styleId="185">
    <w:name w:val="标准文件_表格续"/>
    <w:basedOn w:val="56"/>
    <w:next w:val="56"/>
    <w:qFormat/>
    <w:uiPriority w:val="0"/>
    <w:pPr>
      <w:jc w:val="center"/>
    </w:pPr>
    <w:rPr>
      <w:rFonts w:ascii="黑体" w:hAnsi="黑体" w:eastAsia="黑体"/>
    </w:rPr>
  </w:style>
  <w:style w:type="character" w:styleId="186">
    <w:name w:val="Placeholder Text"/>
    <w:basedOn w:val="28"/>
    <w:semiHidden/>
    <w:qFormat/>
    <w:uiPriority w:val="99"/>
    <w:rPr>
      <w:color w:val="808080"/>
    </w:rPr>
  </w:style>
  <w:style w:type="paragraph" w:customStyle="1" w:styleId="187">
    <w:name w:val="标准文件_二级项2"/>
    <w:basedOn w:val="56"/>
    <w:qFormat/>
    <w:uiPriority w:val="0"/>
    <w:pPr>
      <w:numPr>
        <w:ilvl w:val="1"/>
        <w:numId w:val="21"/>
      </w:numPr>
      <w:ind w:firstLine="0" w:firstLineChars="0"/>
    </w:pPr>
  </w:style>
  <w:style w:type="paragraph" w:customStyle="1" w:styleId="188">
    <w:name w:val="标准文件_三级项2"/>
    <w:basedOn w:val="56"/>
    <w:qFormat/>
    <w:uiPriority w:val="0"/>
    <w:pPr>
      <w:numPr>
        <w:ilvl w:val="0"/>
        <w:numId w:val="30"/>
      </w:numPr>
      <w:spacing w:line="300" w:lineRule="exact"/>
      <w:ind w:firstLineChars="0"/>
    </w:pPr>
    <w:rPr>
      <w:rFonts w:ascii="Times New Roman"/>
    </w:rPr>
  </w:style>
  <w:style w:type="paragraph" w:customStyle="1" w:styleId="189">
    <w:name w:val="标准文件_一级项2"/>
    <w:basedOn w:val="56"/>
    <w:qFormat/>
    <w:uiPriority w:val="0"/>
    <w:pPr>
      <w:numPr>
        <w:ilvl w:val="0"/>
        <w:numId w:val="31"/>
      </w:numPr>
      <w:spacing w:line="300" w:lineRule="exact"/>
      <w:ind w:firstLineChars="0"/>
    </w:pPr>
    <w:rPr>
      <w:rFonts w:ascii="Times New Roman"/>
    </w:rPr>
  </w:style>
  <w:style w:type="paragraph" w:customStyle="1" w:styleId="190">
    <w:name w:val="标准文件_提示"/>
    <w:basedOn w:val="56"/>
    <w:next w:val="56"/>
    <w:qFormat/>
    <w:uiPriority w:val="0"/>
    <w:pPr>
      <w:ind w:firstLine="420"/>
    </w:pPr>
    <w:rPr>
      <w:rFonts w:ascii="黑体" w:eastAsia="黑体"/>
    </w:rPr>
  </w:style>
  <w:style w:type="character" w:customStyle="1" w:styleId="191">
    <w:name w:val="标准文件_来源"/>
    <w:basedOn w:val="28"/>
    <w:qFormat/>
    <w:uiPriority w:val="1"/>
    <w:rPr>
      <w:rFonts w:eastAsia="宋体"/>
      <w:sz w:val="21"/>
    </w:rPr>
  </w:style>
  <w:style w:type="paragraph" w:customStyle="1" w:styleId="192">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qFormat/>
    <w:uiPriority w:val="0"/>
    <w:pPr>
      <w:framePr w:w="3997" w:h="471" w:hRule="exact" w:hSpace="0" w:vSpace="181" w:wrap="around" w:vAnchor="page" w:hAnchor="page" w:x="1419" w:y="14097"/>
    </w:pPr>
  </w:style>
  <w:style w:type="paragraph" w:customStyle="1" w:styleId="194">
    <w:name w:val="其他实施日期"/>
    <w:basedOn w:val="154"/>
    <w:qFormat/>
    <w:uiPriority w:val="0"/>
    <w:pPr>
      <w:framePr w:w="3997" w:h="471" w:hRule="exact" w:vSpace="181" w:wrap="around" w:vAnchor="page" w:hAnchor="page" w:x="7089" w:y="14097"/>
    </w:pPr>
  </w:style>
  <w:style w:type="paragraph" w:customStyle="1" w:styleId="195">
    <w:name w:val="标准文件_文件编号"/>
    <w:basedOn w:val="56"/>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qFormat/>
    <w:uiPriority w:val="0"/>
    <w:pPr>
      <w:spacing w:before="57"/>
    </w:pPr>
    <w:rPr>
      <w:sz w:val="21"/>
    </w:rPr>
  </w:style>
  <w:style w:type="paragraph" w:customStyle="1" w:styleId="197">
    <w:name w:val="标准文件_文件名称"/>
    <w:basedOn w:val="56"/>
    <w:next w:val="56"/>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qFormat/>
    <w:uiPriority w:val="0"/>
    <w:pPr>
      <w:numPr>
        <w:ilvl w:val="1"/>
        <w:numId w:val="8"/>
      </w:numPr>
      <w:spacing w:before="50" w:beforeLines="50" w:after="50" w:afterLines="50"/>
      <w:ind w:firstLineChars="0"/>
    </w:pPr>
    <w:rPr>
      <w:rFonts w:ascii="黑体" w:eastAsia="黑体"/>
    </w:rPr>
  </w:style>
  <w:style w:type="paragraph" w:customStyle="1" w:styleId="201">
    <w:name w:val="标准文件_引言二级条标题"/>
    <w:basedOn w:val="56"/>
    <w:next w:val="56"/>
    <w:qFormat/>
    <w:uiPriority w:val="0"/>
    <w:pPr>
      <w:numPr>
        <w:ilvl w:val="2"/>
        <w:numId w:val="8"/>
      </w:numPr>
      <w:spacing w:before="50" w:beforeLines="50" w:after="50" w:afterLines="50"/>
      <w:ind w:firstLineChars="0"/>
    </w:pPr>
    <w:rPr>
      <w:rFonts w:ascii="黑体" w:eastAsia="黑体"/>
    </w:rPr>
  </w:style>
  <w:style w:type="paragraph" w:customStyle="1" w:styleId="202">
    <w:name w:val="标准文件_引言三级条标题"/>
    <w:basedOn w:val="56"/>
    <w:next w:val="56"/>
    <w:qFormat/>
    <w:uiPriority w:val="0"/>
    <w:pPr>
      <w:numPr>
        <w:ilvl w:val="3"/>
        <w:numId w:val="8"/>
      </w:numPr>
      <w:spacing w:before="50" w:beforeLines="50" w:after="50" w:afterLines="50"/>
      <w:ind w:firstLineChars="0"/>
    </w:pPr>
    <w:rPr>
      <w:rFonts w:ascii="黑体" w:eastAsia="黑体"/>
    </w:rPr>
  </w:style>
  <w:style w:type="paragraph" w:customStyle="1" w:styleId="203">
    <w:name w:val="标准文件_引言四级条标题"/>
    <w:basedOn w:val="56"/>
    <w:next w:val="56"/>
    <w:qFormat/>
    <w:uiPriority w:val="0"/>
    <w:pPr>
      <w:numPr>
        <w:ilvl w:val="4"/>
        <w:numId w:val="8"/>
      </w:numPr>
      <w:spacing w:before="50" w:beforeLines="50" w:after="50" w:afterLines="50"/>
      <w:ind w:firstLineChars="0"/>
    </w:pPr>
    <w:rPr>
      <w:rFonts w:ascii="黑体" w:eastAsia="黑体"/>
    </w:rPr>
  </w:style>
  <w:style w:type="paragraph" w:customStyle="1" w:styleId="204">
    <w:name w:val="标准文件_引言五级条标题"/>
    <w:basedOn w:val="56"/>
    <w:next w:val="56"/>
    <w:qFormat/>
    <w:uiPriority w:val="0"/>
    <w:pPr>
      <w:numPr>
        <w:ilvl w:val="5"/>
        <w:numId w:val="8"/>
      </w:numPr>
      <w:spacing w:before="50" w:beforeLines="50" w:after="50" w:afterLines="50"/>
      <w:ind w:firstLineChars="0"/>
    </w:pPr>
    <w:rPr>
      <w:rFonts w:ascii="黑体" w:eastAsia="黑体"/>
    </w:rPr>
  </w:style>
  <w:style w:type="paragraph" w:customStyle="1" w:styleId="205">
    <w:name w:val="标准文件_注后"/>
    <w:basedOn w:val="56"/>
    <w:qFormat/>
    <w:uiPriority w:val="0"/>
    <w:pPr>
      <w:ind w:left="811" w:firstLine="0" w:firstLineChars="0"/>
    </w:pPr>
    <w:rPr>
      <w:sz w:val="18"/>
    </w:rPr>
  </w:style>
  <w:style w:type="paragraph" w:customStyle="1" w:styleId="206">
    <w:name w:val="标准文件_注X后"/>
    <w:basedOn w:val="56"/>
    <w:qFormat/>
    <w:uiPriority w:val="0"/>
    <w:pPr>
      <w:ind w:left="811" w:firstLine="0" w:firstLineChars="0"/>
    </w:pPr>
    <w:rPr>
      <w:sz w:val="18"/>
    </w:rPr>
  </w:style>
  <w:style w:type="paragraph" w:customStyle="1" w:styleId="207">
    <w:name w:val="标准文件_示例后"/>
    <w:basedOn w:val="56"/>
    <w:qFormat/>
    <w:uiPriority w:val="0"/>
    <w:pPr>
      <w:ind w:left="964" w:firstLine="0" w:firstLineChars="0"/>
    </w:pPr>
    <w:rPr>
      <w:sz w:val="18"/>
    </w:rPr>
  </w:style>
  <w:style w:type="paragraph" w:customStyle="1" w:styleId="208">
    <w:name w:val="标准文件_示例X后"/>
    <w:basedOn w:val="56"/>
    <w:link w:val="209"/>
    <w:qFormat/>
    <w:uiPriority w:val="0"/>
    <w:pPr>
      <w:ind w:left="1049" w:firstLine="0" w:firstLineChars="0"/>
    </w:pPr>
    <w:rPr>
      <w:sz w:val="18"/>
    </w:rPr>
  </w:style>
  <w:style w:type="character" w:customStyle="1" w:styleId="209">
    <w:name w:val="标准文件_示例X后 字符"/>
    <w:basedOn w:val="184"/>
    <w:link w:val="208"/>
    <w:qFormat/>
    <w:uiPriority w:val="0"/>
    <w:rPr>
      <w:rFonts w:ascii="宋体" w:hAnsi="Times New Roman"/>
      <w:sz w:val="18"/>
    </w:rPr>
  </w:style>
  <w:style w:type="paragraph" w:customStyle="1" w:styleId="210">
    <w:name w:val="标准文件_索引项"/>
    <w:basedOn w:val="56"/>
    <w:next w:val="56"/>
    <w:qFormat/>
    <w:uiPriority w:val="0"/>
    <w:pPr>
      <w:tabs>
        <w:tab w:val="right" w:leader="dot" w:pos="9356"/>
      </w:tabs>
      <w:ind w:left="210" w:hanging="210" w:firstLineChars="0"/>
      <w:jc w:val="left"/>
    </w:pPr>
  </w:style>
  <w:style w:type="paragraph" w:customStyle="1" w:styleId="211">
    <w:name w:val="标准文件_附录一级无标题"/>
    <w:basedOn w:val="78"/>
    <w:qFormat/>
    <w:uiPriority w:val="0"/>
    <w:pPr>
      <w:spacing w:before="0" w:beforeLines="0" w:after="0" w:afterLines="0" w:line="276" w:lineRule="auto"/>
      <w:outlineLvl w:val="9"/>
    </w:pPr>
    <w:rPr>
      <w:rFonts w:ascii="宋体" w:eastAsia="宋体"/>
    </w:rPr>
  </w:style>
  <w:style w:type="paragraph" w:customStyle="1" w:styleId="212">
    <w:name w:val="标准文件_附录二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三级无标题"/>
    <w:basedOn w:val="81"/>
    <w:qFormat/>
    <w:uiPriority w:val="0"/>
    <w:pPr>
      <w:spacing w:before="0" w:beforeLines="0" w:after="0" w:afterLines="0" w:line="276" w:lineRule="auto"/>
      <w:outlineLvl w:val="9"/>
    </w:pPr>
    <w:rPr>
      <w:rFonts w:ascii="宋体" w:eastAsia="宋体"/>
    </w:rPr>
  </w:style>
  <w:style w:type="paragraph" w:customStyle="1" w:styleId="214">
    <w:name w:val="标准文件_附录四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五级无标题"/>
    <w:basedOn w:val="84"/>
    <w:qFormat/>
    <w:uiPriority w:val="0"/>
    <w:pPr>
      <w:spacing w:before="0" w:beforeLines="0" w:after="0" w:afterLines="0" w:line="276" w:lineRule="auto"/>
      <w:outlineLvl w:val="9"/>
    </w:pPr>
    <w:rPr>
      <w:rFonts w:ascii="宋体" w:eastAsia="宋体"/>
    </w:rPr>
  </w:style>
  <w:style w:type="paragraph" w:customStyle="1" w:styleId="216">
    <w:name w:val="标准文件_引言一级无标题"/>
    <w:basedOn w:val="200"/>
    <w:next w:val="56"/>
    <w:qFormat/>
    <w:uiPriority w:val="0"/>
    <w:pPr>
      <w:spacing w:before="0" w:beforeLines="0" w:after="0" w:afterLines="0" w:line="276" w:lineRule="auto"/>
    </w:pPr>
    <w:rPr>
      <w:rFonts w:ascii="宋体" w:eastAsia="宋体"/>
    </w:rPr>
  </w:style>
  <w:style w:type="paragraph" w:customStyle="1" w:styleId="217">
    <w:name w:val="标准文件_引言二级无标题"/>
    <w:basedOn w:val="201"/>
    <w:next w:val="56"/>
    <w:qFormat/>
    <w:uiPriority w:val="0"/>
    <w:pPr>
      <w:spacing w:before="0" w:beforeLines="0" w:after="0" w:afterLines="0" w:line="276" w:lineRule="auto"/>
    </w:pPr>
    <w:rPr>
      <w:rFonts w:ascii="宋体" w:eastAsia="宋体"/>
    </w:rPr>
  </w:style>
  <w:style w:type="paragraph" w:customStyle="1" w:styleId="218">
    <w:name w:val="标准文件_引言三级无标题"/>
    <w:basedOn w:val="202"/>
    <w:qFormat/>
    <w:uiPriority w:val="0"/>
    <w:pPr>
      <w:spacing w:before="0" w:beforeLines="0" w:after="0" w:afterLines="0" w:line="276" w:lineRule="auto"/>
    </w:pPr>
    <w:rPr>
      <w:rFonts w:ascii="宋体" w:eastAsia="宋体"/>
    </w:rPr>
  </w:style>
  <w:style w:type="paragraph" w:customStyle="1" w:styleId="219">
    <w:name w:val="标准文件_引言四级无标题"/>
    <w:basedOn w:val="203"/>
    <w:next w:val="56"/>
    <w:qFormat/>
    <w:uiPriority w:val="0"/>
    <w:pPr>
      <w:spacing w:before="0" w:beforeLines="0" w:after="0" w:afterLines="0" w:line="276" w:lineRule="auto"/>
    </w:pPr>
    <w:rPr>
      <w:rFonts w:ascii="宋体" w:eastAsia="宋体"/>
    </w:rPr>
  </w:style>
  <w:style w:type="paragraph" w:customStyle="1" w:styleId="220">
    <w:name w:val="标准文件_引言五级无标题"/>
    <w:basedOn w:val="204"/>
    <w:next w:val="56"/>
    <w:qFormat/>
    <w:uiPriority w:val="0"/>
    <w:pPr>
      <w:spacing w:before="0" w:beforeLines="0" w:after="0" w:afterLines="0" w:line="276" w:lineRule="auto"/>
    </w:pPr>
    <w:rPr>
      <w:rFonts w:ascii="宋体" w:eastAsia="宋体"/>
    </w:rPr>
  </w:style>
  <w:style w:type="paragraph" w:customStyle="1" w:styleId="221">
    <w:name w:val="标准文件_索引标题"/>
    <w:basedOn w:val="63"/>
    <w:next w:val="56"/>
    <w:qFormat/>
    <w:uiPriority w:val="0"/>
    <w:rPr>
      <w:rFonts w:hAnsi="黑体"/>
    </w:rPr>
  </w:style>
  <w:style w:type="paragraph" w:customStyle="1" w:styleId="222">
    <w:name w:val="标准文件_脚注内容"/>
    <w:basedOn w:val="56"/>
    <w:qFormat/>
    <w:uiPriority w:val="0"/>
    <w:pPr>
      <w:ind w:left="400" w:leftChars="200" w:hanging="200" w:hangingChars="200"/>
    </w:pPr>
    <w:rPr>
      <w:sz w:val="15"/>
    </w:rPr>
  </w:style>
  <w:style w:type="paragraph" w:customStyle="1" w:styleId="223">
    <w:name w:val="标准文件_术语条一"/>
    <w:basedOn w:val="162"/>
    <w:next w:val="56"/>
    <w:qFormat/>
    <w:uiPriority w:val="0"/>
  </w:style>
  <w:style w:type="paragraph" w:customStyle="1" w:styleId="224">
    <w:name w:val="标准文件_术语条二"/>
    <w:basedOn w:val="165"/>
    <w:next w:val="56"/>
    <w:qFormat/>
    <w:uiPriority w:val="0"/>
  </w:style>
  <w:style w:type="paragraph" w:customStyle="1" w:styleId="225">
    <w:name w:val="标准文件_术语条三"/>
    <w:basedOn w:val="164"/>
    <w:next w:val="56"/>
    <w:qFormat/>
    <w:uiPriority w:val="0"/>
  </w:style>
  <w:style w:type="paragraph" w:customStyle="1" w:styleId="226">
    <w:name w:val="标准文件_术语条四"/>
    <w:basedOn w:val="167"/>
    <w:next w:val="56"/>
    <w:qFormat/>
    <w:uiPriority w:val="0"/>
  </w:style>
  <w:style w:type="paragraph" w:customStyle="1" w:styleId="227">
    <w:name w:val="标准文件_术语条五"/>
    <w:basedOn w:val="163"/>
    <w:next w:val="56"/>
    <w:qFormat/>
    <w:uiPriority w:val="0"/>
  </w:style>
  <w:style w:type="paragraph" w:customStyle="1" w:styleId="22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9">
    <w:name w:val="发布"/>
    <w:basedOn w:val="28"/>
    <w:qFormat/>
    <w:uiPriority w:val="0"/>
    <w:rPr>
      <w:rFonts w:ascii="黑体" w:eastAsia="黑体"/>
      <w:spacing w:val="85"/>
      <w:w w:val="100"/>
      <w:position w:val="3"/>
      <w:sz w:val="28"/>
      <w:szCs w:val="28"/>
    </w:rPr>
  </w:style>
  <w:style w:type="paragraph" w:customStyle="1" w:styleId="230">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231">
    <w:name w:val="章标题"/>
    <w:next w:val="230"/>
    <w:qFormat/>
    <w:uiPriority w:val="0"/>
    <w:pPr>
      <w:numPr>
        <w:ilvl w:val="0"/>
        <w:numId w:val="32"/>
      </w:numPr>
      <w:spacing w:before="312" w:beforeLines="100" w:after="312" w:afterLines="100"/>
      <w:jc w:val="both"/>
      <w:outlineLvl w:val="1"/>
    </w:pPr>
    <w:rPr>
      <w:rFonts w:ascii="黑体" w:hAnsi="Times New Roman" w:eastAsia="黑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glossaryDocument" Target="glossary/document.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4.jpeg"/><Relationship Id="rId16" Type="http://schemas.openxmlformats.org/officeDocument/2006/relationships/image" Target="media/image3.png"/><Relationship Id="rId15" Type="http://schemas.openxmlformats.org/officeDocument/2006/relationships/image" Target="media/image2.png"/><Relationship Id="rId14" Type="http://schemas.openxmlformats.org/officeDocument/2006/relationships/image" Target="media/image1.tiff"/><Relationship Id="rId13" Type="http://schemas.openxmlformats.org/officeDocument/2006/relationships/theme" Target="theme/theme1.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E29255EA8535446A8698BCEB2DD58785"/>
        <w:style w:val=""/>
        <w:category>
          <w:name w:val="常规"/>
          <w:gallery w:val="placeholder"/>
        </w:category>
        <w:types>
          <w:type w:val="bbPlcHdr"/>
        </w:types>
        <w:behaviors>
          <w:behavior w:val="content"/>
        </w:behaviors>
        <w:description w:val=""/>
        <w:guid w:val="{16E02438-0576-4C29-8C55-007E4B9A5563}"/>
      </w:docPartPr>
      <w:docPartBody>
        <w:p>
          <w:pPr>
            <w:pStyle w:val="5"/>
          </w:pPr>
          <w:r>
            <w:rPr>
              <w:rStyle w:val="4"/>
              <w:rFonts w:hint="eastAsia"/>
            </w:rPr>
            <w:t>单击或点击此处输入文字。</w:t>
          </w:r>
        </w:p>
      </w:docPartBody>
    </w:docPart>
    <w:docPart>
      <w:docPartPr>
        <w:name w:val="8AB26F249DB443D0B5D6F273C4C91EBD"/>
        <w:style w:val=""/>
        <w:category>
          <w:name w:val="常规"/>
          <w:gallery w:val="placeholder"/>
        </w:category>
        <w:types>
          <w:type w:val="bbPlcHdr"/>
        </w:types>
        <w:behaviors>
          <w:behavior w:val="content"/>
        </w:behaviors>
        <w:description w:val=""/>
        <w:guid w:val="{C4D205A4-7212-4061-9D44-761EE81BEDDE}"/>
      </w:docPartPr>
      <w:docPartBody>
        <w:p>
          <w:pPr>
            <w:pStyle w:val="6"/>
          </w:pPr>
          <w:r>
            <w:rPr>
              <w:rStyle w:val="4"/>
              <w:rFonts w:hint="eastAsia"/>
            </w:rPr>
            <w:t>选择一项。</w:t>
          </w:r>
        </w:p>
      </w:docPartBody>
    </w:docPart>
    <w:docPart>
      <w:docPartPr>
        <w:name w:val="55B6A2045FF84569944B83F618A356CE"/>
        <w:style w:val=""/>
        <w:category>
          <w:name w:val="常规"/>
          <w:gallery w:val="placeholder"/>
        </w:category>
        <w:types>
          <w:type w:val="bbPlcHdr"/>
        </w:types>
        <w:behaviors>
          <w:behavior w:val="content"/>
        </w:behaviors>
        <w:description w:val=""/>
        <w:guid w:val="{F1C886F0-3E37-4EBF-9A39-567B3429D41A}"/>
      </w:docPartPr>
      <w:docPartBody>
        <w:p>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5C75"/>
    <w:rsid w:val="00135C75"/>
    <w:rsid w:val="00204DF9"/>
    <w:rsid w:val="00347E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uiPriority w:val="99"/>
    <w:rPr>
      <w:color w:val="808080"/>
    </w:rPr>
  </w:style>
  <w:style w:type="paragraph" w:customStyle="1" w:styleId="5">
    <w:name w:val="E29255EA8535446A8698BCEB2DD58785"/>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8AB26F249DB443D0B5D6F273C4C91EBD"/>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55B6A2045FF84569944B83F618A356CE"/>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CF03465-9310-430F-A8A0-DFC80D2CA8A6}">
  <ds:schemaRefs/>
</ds:datastoreItem>
</file>

<file path=docProps/app.xml><?xml version="1.0" encoding="utf-8"?>
<Properties xmlns="http://schemas.openxmlformats.org/officeDocument/2006/extended-properties" xmlns:vt="http://schemas.openxmlformats.org/officeDocument/2006/docPropsVTypes">
  <Template>地方标准.dotx</Template>
  <Pages>13</Pages>
  <Words>5812</Words>
  <Characters>6881</Characters>
  <Lines>45</Lines>
  <Paragraphs>49</Paragraphs>
  <TotalTime>3</TotalTime>
  <ScaleCrop>false</ScaleCrop>
  <LinksUpToDate>false</LinksUpToDate>
  <CharactersWithSpaces>7089</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2025-08-21T03:01:00Z</dcterms:created>
  <dc:creator>43587</dc:creator>
  <dc:description>&lt;config cover="true" show_menu="true" version="1.0.0" doctype="SDKXY"&gt;_x000d_
&lt;/config&gt;</dc:description>
  <cp:lastModifiedBy>宇宙中的地球</cp:lastModifiedBy>
  <dcterms:modified xsi:type="dcterms:W3CDTF">2025-09-05T11:13:55Z</dcterms:modified>
  <dc:title>地方标准</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ICV">
    <vt:lpwstr>8B8789491C434326B3264AAE87472AF1</vt:lpwstr>
  </property>
  <property fmtid="{D5CDD505-2E9C-101B-9397-08002B2CF9AE}" pid="15" name="KSOProductBuildVer">
    <vt:lpwstr>2052-11.1.0.12165</vt:lpwstr>
  </property>
</Properties>
</file>